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02" w:rsidRPr="00D911AF" w:rsidRDefault="00052902" w:rsidP="00D911AF">
      <w:pPr>
        <w:jc w:val="center"/>
        <w:rPr>
          <w:lang w:val="fr-FR"/>
        </w:rPr>
      </w:pPr>
      <w:bookmarkStart w:id="0" w:name="_GoBack"/>
      <w:bookmarkEnd w:id="0"/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052902" w:rsidRPr="00D911AF" w:rsidRDefault="00D94135" w:rsidP="00D911AF">
      <w:pPr>
        <w:jc w:val="center"/>
        <w:rPr>
          <w:lang w:val="fr-FR"/>
        </w:rPr>
      </w:pPr>
      <w:r w:rsidRPr="00D911AF">
        <w:rPr>
          <w:lang w:val="fr-FR"/>
        </w:rPr>
        <w:t>PREM</w:t>
      </w:r>
      <w:r w:rsidR="004836FA" w:rsidRPr="00D911AF">
        <w:rPr>
          <w:lang w:val="fr-FR"/>
        </w:rPr>
        <w:t>IÈ</w:t>
      </w:r>
      <w:r w:rsidRPr="00D911AF">
        <w:rPr>
          <w:lang w:val="fr-FR"/>
        </w:rPr>
        <w:t>R</w:t>
      </w:r>
      <w:r w:rsidR="004836FA" w:rsidRPr="00D911AF">
        <w:rPr>
          <w:lang w:val="fr-FR"/>
        </w:rPr>
        <w:t>E SECTION</w:t>
      </w:r>
    </w:p>
    <w:p w:rsidR="00052902" w:rsidRPr="00D911AF" w:rsidRDefault="00052902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052902" w:rsidRPr="00D911AF" w:rsidRDefault="00052902" w:rsidP="00D911AF">
      <w:pPr>
        <w:jc w:val="center"/>
        <w:rPr>
          <w:b/>
          <w:lang w:val="fr-FR"/>
        </w:rPr>
      </w:pPr>
      <w:bookmarkStart w:id="1" w:name="To"/>
      <w:r w:rsidRPr="00D911AF">
        <w:rPr>
          <w:b/>
          <w:lang w:val="fr-FR"/>
        </w:rPr>
        <w:t xml:space="preserve">AFFAIRE </w:t>
      </w:r>
      <w:bookmarkEnd w:id="1"/>
      <w:r w:rsidR="004836FA" w:rsidRPr="00D911AF">
        <w:rPr>
          <w:b/>
          <w:lang w:val="fr-FR"/>
        </w:rPr>
        <w:t xml:space="preserve">STEFANETTI </w:t>
      </w:r>
      <w:r w:rsidR="00E83395" w:rsidRPr="00D911AF">
        <w:rPr>
          <w:b/>
          <w:lang w:val="fr-FR"/>
        </w:rPr>
        <w:t>ET AUTRES</w:t>
      </w:r>
      <w:r w:rsidR="00BE1248" w:rsidRPr="00D911AF">
        <w:rPr>
          <w:b/>
          <w:lang w:val="fr-FR"/>
        </w:rPr>
        <w:t xml:space="preserve"> </w:t>
      </w:r>
      <w:r w:rsidR="004836FA" w:rsidRPr="00D911AF">
        <w:rPr>
          <w:b/>
          <w:lang w:val="fr-FR"/>
        </w:rPr>
        <w:t>c. ITALIE</w:t>
      </w:r>
    </w:p>
    <w:p w:rsidR="00052902" w:rsidRPr="00D911AF" w:rsidRDefault="00052902" w:rsidP="00D911AF">
      <w:pPr>
        <w:jc w:val="center"/>
        <w:rPr>
          <w:lang w:val="fr-FR"/>
        </w:rPr>
      </w:pPr>
    </w:p>
    <w:p w:rsidR="00B91A37" w:rsidRPr="00D911AF" w:rsidRDefault="00052902" w:rsidP="00D911AF">
      <w:pPr>
        <w:jc w:val="center"/>
        <w:rPr>
          <w:lang w:val="fr-FR"/>
        </w:rPr>
      </w:pPr>
      <w:r w:rsidRPr="00D911AF">
        <w:rPr>
          <w:i/>
          <w:lang w:val="fr-FR"/>
        </w:rPr>
        <w:t>(</w:t>
      </w:r>
      <w:r w:rsidR="004836FA" w:rsidRPr="00D911AF">
        <w:rPr>
          <w:i/>
          <w:lang w:val="fr-FR"/>
        </w:rPr>
        <w:t>Requêtes n</w:t>
      </w:r>
      <w:r w:rsidR="004836FA" w:rsidRPr="00D911AF">
        <w:rPr>
          <w:i/>
          <w:vertAlign w:val="superscript"/>
          <w:lang w:val="fr-FR"/>
        </w:rPr>
        <w:t>os</w:t>
      </w:r>
      <w:r w:rsidR="004836FA" w:rsidRPr="00D911AF">
        <w:rPr>
          <w:i/>
          <w:lang w:val="fr-FR"/>
        </w:rPr>
        <w:t xml:space="preserve"> 21838/10</w:t>
      </w:r>
      <w:r w:rsidR="00E83395" w:rsidRPr="00D911AF">
        <w:rPr>
          <w:i/>
          <w:lang w:val="fr-FR"/>
        </w:rPr>
        <w:t>, 21849/10, 21852/10, 21855/10, 21860/10, 21863/10, 21869/10, 21870/10</w:t>
      </w:r>
      <w:r w:rsidRPr="00D911AF">
        <w:rPr>
          <w:i/>
          <w:lang w:val="fr-FR"/>
        </w:rPr>
        <w:t>)</w:t>
      </w: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D911AF" w:rsidRPr="00D911AF" w:rsidRDefault="00D911AF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5D6B44" w:rsidRPr="00D911AF" w:rsidRDefault="005D6B44" w:rsidP="00D911AF">
      <w:pPr>
        <w:jc w:val="center"/>
        <w:rPr>
          <w:lang w:val="fr-FR"/>
        </w:rPr>
      </w:pPr>
      <w:r w:rsidRPr="00D911AF">
        <w:rPr>
          <w:lang w:val="fr-FR"/>
        </w:rPr>
        <w:t>ARRÊT</w:t>
      </w:r>
    </w:p>
    <w:p w:rsidR="005D6B44" w:rsidRPr="00D911AF" w:rsidRDefault="005D6B44" w:rsidP="00D911AF">
      <w:pPr>
        <w:jc w:val="center"/>
        <w:rPr>
          <w:lang w:val="fr-FR"/>
        </w:rPr>
      </w:pPr>
      <w:bookmarkStart w:id="2" w:name="JUDTYPE"/>
      <w:r w:rsidRPr="00D911AF">
        <w:rPr>
          <w:lang w:val="fr-FR"/>
        </w:rPr>
        <w:t>(</w:t>
      </w:r>
      <w:r w:rsidRPr="00D911AF">
        <w:rPr>
          <w:i/>
          <w:lang w:val="fr-FR"/>
        </w:rPr>
        <w:t>Satisfaction équitable</w:t>
      </w:r>
      <w:r w:rsidRPr="00D911AF">
        <w:rPr>
          <w:lang w:val="fr-FR"/>
        </w:rPr>
        <w:t>)</w:t>
      </w:r>
      <w:bookmarkEnd w:id="2"/>
    </w:p>
    <w:p w:rsidR="00D74F6F" w:rsidRPr="00D911AF" w:rsidRDefault="00D74F6F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  <w:r w:rsidRPr="00D911AF">
        <w:rPr>
          <w:lang w:val="fr-FR"/>
        </w:rPr>
        <w:t>STRASBOURG</w:t>
      </w: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5D6B44" w:rsidP="00D911AF">
      <w:pPr>
        <w:jc w:val="center"/>
        <w:rPr>
          <w:lang w:val="fr-FR"/>
        </w:rPr>
      </w:pPr>
      <w:r w:rsidRPr="00D911AF">
        <w:rPr>
          <w:lang w:val="fr-FR"/>
        </w:rPr>
        <w:t>1er juin 2017</w:t>
      </w: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center"/>
        <w:rPr>
          <w:lang w:val="fr-FR"/>
        </w:rPr>
      </w:pPr>
    </w:p>
    <w:p w:rsidR="00B91A37" w:rsidRPr="00D911AF" w:rsidRDefault="00B91A37" w:rsidP="00D911AF">
      <w:pPr>
        <w:jc w:val="left"/>
        <w:rPr>
          <w:i/>
          <w:sz w:val="22"/>
          <w:lang w:val="fr-FR"/>
        </w:rPr>
      </w:pPr>
      <w:r w:rsidRPr="00D911AF">
        <w:rPr>
          <w:i/>
          <w:sz w:val="22"/>
          <w:lang w:val="fr-FR"/>
        </w:rPr>
        <w:t>Cet arrêt deviendra définitif dans les conditions définies à l</w:t>
      </w:r>
      <w:r w:rsidR="00D911AF" w:rsidRPr="00D911AF">
        <w:rPr>
          <w:i/>
          <w:sz w:val="22"/>
          <w:lang w:val="fr-FR"/>
        </w:rPr>
        <w:t>’</w:t>
      </w:r>
      <w:r w:rsidRPr="00D911AF">
        <w:rPr>
          <w:i/>
          <w:sz w:val="22"/>
          <w:lang w:val="fr-FR"/>
        </w:rPr>
        <w:t>article 44 § 2 de la Convention. Il peut subir des retouches de forme.</w:t>
      </w:r>
    </w:p>
    <w:p w:rsidR="00B91A37" w:rsidRPr="00D911AF" w:rsidRDefault="00B91A37" w:rsidP="00D911AF">
      <w:pPr>
        <w:pStyle w:val="ECHRPara"/>
        <w:ind w:firstLine="0"/>
        <w:rPr>
          <w:lang w:val="fr-FR"/>
        </w:rPr>
        <w:sectPr w:rsidR="00B91A37" w:rsidRPr="00D911AF" w:rsidSect="00B91A37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052902" w:rsidRPr="00D911AF" w:rsidRDefault="00052902" w:rsidP="00D911AF">
      <w:pPr>
        <w:pStyle w:val="JuCase"/>
        <w:jc w:val="left"/>
        <w:rPr>
          <w:lang w:val="fr-FR"/>
        </w:rPr>
      </w:pPr>
      <w:r w:rsidRPr="00D911AF">
        <w:rPr>
          <w:lang w:val="fr-FR"/>
        </w:rPr>
        <w:lastRenderedPageBreak/>
        <w:t>En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affaire </w:t>
      </w:r>
      <w:proofErr w:type="spellStart"/>
      <w:r w:rsidR="004836FA" w:rsidRPr="00D911AF">
        <w:rPr>
          <w:lang w:val="fr-FR"/>
        </w:rPr>
        <w:t>Stefanetti</w:t>
      </w:r>
      <w:proofErr w:type="spellEnd"/>
      <w:r w:rsidR="004836FA" w:rsidRPr="00D911AF">
        <w:rPr>
          <w:lang w:val="fr-FR"/>
        </w:rPr>
        <w:t xml:space="preserve"> </w:t>
      </w:r>
      <w:r w:rsidR="00BD421D" w:rsidRPr="00D911AF">
        <w:rPr>
          <w:lang w:val="fr-FR"/>
        </w:rPr>
        <w:t xml:space="preserve">et autres </w:t>
      </w:r>
      <w:r w:rsidR="004836FA" w:rsidRPr="00D911AF">
        <w:rPr>
          <w:lang w:val="fr-FR"/>
        </w:rPr>
        <w:t>c. Italie</w:t>
      </w:r>
      <w:r w:rsidRPr="00D911AF">
        <w:rPr>
          <w:lang w:val="fr-FR"/>
        </w:rPr>
        <w:t>,</w:t>
      </w:r>
    </w:p>
    <w:p w:rsidR="00052902" w:rsidRPr="00D911AF" w:rsidRDefault="00052902" w:rsidP="00D911AF">
      <w:pPr>
        <w:pStyle w:val="ECHRPara"/>
        <w:rPr>
          <w:lang w:val="fr-FR"/>
        </w:rPr>
      </w:pPr>
      <w:r w:rsidRPr="00D911AF">
        <w:rPr>
          <w:lang w:val="fr-FR"/>
        </w:rPr>
        <w:t>La Cour européenne des droits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homme</w:t>
      </w:r>
      <w:r w:rsidR="004836FA" w:rsidRPr="00D911AF">
        <w:rPr>
          <w:lang w:val="fr-FR"/>
        </w:rPr>
        <w:t xml:space="preserve"> (</w:t>
      </w:r>
      <w:r w:rsidR="0009305A" w:rsidRPr="00D911AF">
        <w:rPr>
          <w:lang w:val="fr-FR"/>
        </w:rPr>
        <w:t>première</w:t>
      </w:r>
      <w:r w:rsidR="004836FA" w:rsidRPr="00D911AF">
        <w:rPr>
          <w:lang w:val="fr-FR"/>
        </w:rPr>
        <w:t xml:space="preserve"> section)</w:t>
      </w:r>
      <w:r w:rsidRPr="00D911AF">
        <w:rPr>
          <w:lang w:val="fr-FR"/>
        </w:rPr>
        <w:t xml:space="preserve">, siégeant en </w:t>
      </w:r>
      <w:r w:rsidR="004836FA" w:rsidRPr="00D911AF">
        <w:rPr>
          <w:lang w:val="fr-FR"/>
        </w:rPr>
        <w:t>une chambre composée</w:t>
      </w:r>
      <w:r w:rsidRPr="00D911AF">
        <w:rPr>
          <w:lang w:val="fr-FR"/>
        </w:rPr>
        <w:t xml:space="preserve"> de :</w:t>
      </w:r>
    </w:p>
    <w:p w:rsidR="00052902" w:rsidRPr="00D911AF" w:rsidRDefault="005D6B44" w:rsidP="00D911AF">
      <w:pPr>
        <w:pStyle w:val="ECHRDecisionBody"/>
        <w:rPr>
          <w:lang w:val="fr-FR"/>
        </w:rPr>
      </w:pPr>
      <w:r w:rsidRPr="00D911AF">
        <w:rPr>
          <w:lang w:val="fr-FR"/>
        </w:rPr>
        <w:tab/>
        <w:t xml:space="preserve">Linos-Alexandre </w:t>
      </w:r>
      <w:proofErr w:type="spellStart"/>
      <w:r w:rsidRPr="00D911AF">
        <w:rPr>
          <w:lang w:val="fr-FR"/>
        </w:rPr>
        <w:t>Sicilianos</w:t>
      </w:r>
      <w:proofErr w:type="spellEnd"/>
      <w:r w:rsidRPr="00D911AF">
        <w:rPr>
          <w:lang w:val="fr-FR"/>
        </w:rPr>
        <w:t>,</w:t>
      </w:r>
      <w:r w:rsidRPr="00D911AF">
        <w:rPr>
          <w:i/>
          <w:lang w:val="fr-FR"/>
        </w:rPr>
        <w:t xml:space="preserve"> président,</w:t>
      </w:r>
      <w:r w:rsidRPr="00D911AF">
        <w:rPr>
          <w:i/>
          <w:lang w:val="fr-FR"/>
        </w:rPr>
        <w:br/>
      </w:r>
      <w:r w:rsidRPr="00D911AF">
        <w:rPr>
          <w:lang w:val="fr-FR"/>
        </w:rPr>
        <w:tab/>
        <w:t xml:space="preserve">Kristina </w:t>
      </w:r>
      <w:proofErr w:type="spellStart"/>
      <w:r w:rsidRPr="00D911AF">
        <w:rPr>
          <w:lang w:val="fr-FR"/>
        </w:rPr>
        <w:t>Pardalos</w:t>
      </w:r>
      <w:proofErr w:type="spellEnd"/>
      <w:r w:rsidRPr="00D911AF">
        <w:rPr>
          <w:lang w:val="fr-FR"/>
        </w:rPr>
        <w:t>,</w:t>
      </w:r>
      <w:r w:rsidRPr="00D911AF">
        <w:rPr>
          <w:i/>
          <w:lang w:val="fr-FR"/>
        </w:rPr>
        <w:br/>
      </w:r>
      <w:r w:rsidRPr="00D911AF">
        <w:rPr>
          <w:lang w:val="fr-FR"/>
        </w:rPr>
        <w:tab/>
        <w:t>Guido Raimondi,</w:t>
      </w:r>
      <w:r w:rsidRPr="00D911AF">
        <w:rPr>
          <w:i/>
          <w:lang w:val="fr-FR"/>
        </w:rPr>
        <w:br/>
      </w:r>
      <w:r w:rsidRPr="00D911AF">
        <w:rPr>
          <w:lang w:val="fr-FR"/>
        </w:rPr>
        <w:tab/>
        <w:t xml:space="preserve">Krzysztof </w:t>
      </w:r>
      <w:proofErr w:type="spellStart"/>
      <w:r w:rsidRPr="00D911AF">
        <w:rPr>
          <w:lang w:val="fr-FR"/>
        </w:rPr>
        <w:t>Wojtyczek</w:t>
      </w:r>
      <w:proofErr w:type="spellEnd"/>
      <w:r w:rsidRPr="00D911AF">
        <w:rPr>
          <w:lang w:val="fr-FR"/>
        </w:rPr>
        <w:t>,</w:t>
      </w:r>
      <w:r w:rsidRPr="00D911AF">
        <w:rPr>
          <w:i/>
          <w:lang w:val="fr-FR"/>
        </w:rPr>
        <w:br/>
      </w:r>
      <w:r w:rsidRPr="00D911AF">
        <w:rPr>
          <w:lang w:val="fr-FR"/>
        </w:rPr>
        <w:tab/>
      </w:r>
      <w:proofErr w:type="spellStart"/>
      <w:r w:rsidRPr="00D911AF">
        <w:rPr>
          <w:lang w:val="fr-FR"/>
        </w:rPr>
        <w:t>Ksenija</w:t>
      </w:r>
      <w:proofErr w:type="spellEnd"/>
      <w:r w:rsidRPr="00D911AF">
        <w:rPr>
          <w:lang w:val="fr-FR"/>
        </w:rPr>
        <w:t xml:space="preserve"> </w:t>
      </w:r>
      <w:proofErr w:type="spellStart"/>
      <w:r w:rsidRPr="00D911AF">
        <w:rPr>
          <w:lang w:val="fr-FR"/>
        </w:rPr>
        <w:t>Turković</w:t>
      </w:r>
      <w:proofErr w:type="spellEnd"/>
      <w:r w:rsidRPr="00D911AF">
        <w:rPr>
          <w:lang w:val="fr-FR"/>
        </w:rPr>
        <w:t>,</w:t>
      </w:r>
      <w:r w:rsidRPr="00D911AF">
        <w:rPr>
          <w:i/>
          <w:lang w:val="fr-FR"/>
        </w:rPr>
        <w:br/>
      </w:r>
      <w:r w:rsidRPr="00D911AF">
        <w:rPr>
          <w:lang w:val="fr-FR"/>
        </w:rPr>
        <w:tab/>
      </w:r>
      <w:proofErr w:type="spellStart"/>
      <w:r w:rsidRPr="00D911AF">
        <w:rPr>
          <w:lang w:val="fr-FR"/>
        </w:rPr>
        <w:t>Armen</w:t>
      </w:r>
      <w:proofErr w:type="spellEnd"/>
      <w:r w:rsidRPr="00D911AF">
        <w:rPr>
          <w:lang w:val="fr-FR"/>
        </w:rPr>
        <w:t xml:space="preserve"> </w:t>
      </w:r>
      <w:proofErr w:type="spellStart"/>
      <w:r w:rsidRPr="00D911AF">
        <w:rPr>
          <w:lang w:val="fr-FR"/>
        </w:rPr>
        <w:t>Harutyunyan</w:t>
      </w:r>
      <w:proofErr w:type="spellEnd"/>
      <w:r w:rsidRPr="00D911AF">
        <w:rPr>
          <w:lang w:val="fr-FR"/>
        </w:rPr>
        <w:t>,</w:t>
      </w:r>
      <w:r w:rsidRPr="00D911AF">
        <w:rPr>
          <w:i/>
          <w:lang w:val="fr-FR"/>
        </w:rPr>
        <w:br/>
      </w:r>
      <w:r w:rsidRPr="00D911AF">
        <w:rPr>
          <w:lang w:val="fr-FR"/>
        </w:rPr>
        <w:tab/>
      </w:r>
      <w:proofErr w:type="spellStart"/>
      <w:r w:rsidRPr="00D911AF">
        <w:rPr>
          <w:lang w:val="fr-FR"/>
        </w:rPr>
        <w:t>Pauliine</w:t>
      </w:r>
      <w:proofErr w:type="spellEnd"/>
      <w:r w:rsidRPr="00D911AF">
        <w:rPr>
          <w:lang w:val="fr-FR"/>
        </w:rPr>
        <w:t xml:space="preserve"> </w:t>
      </w:r>
      <w:proofErr w:type="spellStart"/>
      <w:r w:rsidRPr="00D911AF">
        <w:rPr>
          <w:lang w:val="fr-FR"/>
        </w:rPr>
        <w:t>Koskelo</w:t>
      </w:r>
      <w:proofErr w:type="spellEnd"/>
      <w:r w:rsidRPr="00D911AF">
        <w:rPr>
          <w:lang w:val="fr-FR"/>
        </w:rPr>
        <w:t>,</w:t>
      </w:r>
      <w:r w:rsidRPr="00D911AF">
        <w:rPr>
          <w:i/>
          <w:lang w:val="fr-FR"/>
        </w:rPr>
        <w:t xml:space="preserve"> juges</w:t>
      </w:r>
      <w:proofErr w:type="gramStart"/>
      <w:r w:rsidRPr="00D911AF">
        <w:rPr>
          <w:i/>
          <w:lang w:val="fr-FR"/>
        </w:rPr>
        <w:t>,</w:t>
      </w:r>
      <w:proofErr w:type="gramEnd"/>
      <w:r w:rsidR="00052902" w:rsidRPr="00D911AF">
        <w:rPr>
          <w:lang w:val="fr-FR"/>
        </w:rPr>
        <w:br/>
        <w:t xml:space="preserve">et de </w:t>
      </w:r>
      <w:r w:rsidR="0009305A" w:rsidRPr="00D911AF">
        <w:rPr>
          <w:lang w:val="fr-FR"/>
        </w:rPr>
        <w:t xml:space="preserve">Renata </w:t>
      </w:r>
      <w:proofErr w:type="spellStart"/>
      <w:r w:rsidR="0009305A" w:rsidRPr="00D911AF">
        <w:rPr>
          <w:lang w:val="fr-FR"/>
        </w:rPr>
        <w:t>Degener</w:t>
      </w:r>
      <w:proofErr w:type="spellEnd"/>
      <w:r w:rsidR="00052902" w:rsidRPr="00D911AF">
        <w:rPr>
          <w:lang w:val="fr-FR"/>
        </w:rPr>
        <w:t xml:space="preserve">, </w:t>
      </w:r>
      <w:r w:rsidR="0009305A" w:rsidRPr="00D911AF">
        <w:rPr>
          <w:i/>
          <w:lang w:val="fr-FR"/>
        </w:rPr>
        <w:t>greffiè</w:t>
      </w:r>
      <w:r w:rsidR="004836FA" w:rsidRPr="00D911AF">
        <w:rPr>
          <w:i/>
          <w:lang w:val="fr-FR"/>
        </w:rPr>
        <w:t>r</w:t>
      </w:r>
      <w:r w:rsidR="0009305A" w:rsidRPr="00D911AF">
        <w:rPr>
          <w:i/>
          <w:lang w:val="fr-FR"/>
        </w:rPr>
        <w:t>e adjointe</w:t>
      </w:r>
      <w:r w:rsidR="004836FA" w:rsidRPr="00D911AF">
        <w:rPr>
          <w:iCs/>
          <w:lang w:val="fr-FR"/>
        </w:rPr>
        <w:t xml:space="preserve"> </w:t>
      </w:r>
      <w:r w:rsidR="004836FA" w:rsidRPr="00D911AF">
        <w:rPr>
          <w:i/>
          <w:iCs/>
          <w:lang w:val="fr-FR"/>
        </w:rPr>
        <w:t>d</w:t>
      </w:r>
      <w:r w:rsidR="004836FA" w:rsidRPr="00D911AF">
        <w:rPr>
          <w:i/>
          <w:lang w:val="fr-FR"/>
        </w:rPr>
        <w:t>e section</w:t>
      </w:r>
      <w:r w:rsidR="00052902" w:rsidRPr="00D911AF">
        <w:rPr>
          <w:lang w:val="fr-FR"/>
        </w:rPr>
        <w:t>,</w:t>
      </w:r>
    </w:p>
    <w:p w:rsidR="00052902" w:rsidRPr="00D911AF" w:rsidRDefault="00052902" w:rsidP="00D911AF">
      <w:pPr>
        <w:pStyle w:val="ECHRPara"/>
        <w:rPr>
          <w:lang w:val="fr-FR"/>
        </w:rPr>
      </w:pPr>
      <w:r w:rsidRPr="00D911AF">
        <w:rPr>
          <w:lang w:val="fr-FR"/>
        </w:rPr>
        <w:t xml:space="preserve">Après en avoir délibéré en chambre du conseil le </w:t>
      </w:r>
      <w:r w:rsidR="005D6B44" w:rsidRPr="00D911AF">
        <w:rPr>
          <w:lang w:val="fr-FR"/>
        </w:rPr>
        <w:t>2 mai 2017</w:t>
      </w:r>
      <w:r w:rsidRPr="00D911AF">
        <w:rPr>
          <w:lang w:val="fr-FR"/>
        </w:rPr>
        <w:t>,</w:t>
      </w:r>
    </w:p>
    <w:p w:rsidR="00052902" w:rsidRPr="00D911AF" w:rsidRDefault="00052902" w:rsidP="00D911AF">
      <w:pPr>
        <w:pStyle w:val="ECHRPara"/>
        <w:rPr>
          <w:lang w:val="fr-FR"/>
        </w:rPr>
      </w:pPr>
      <w:r w:rsidRPr="00D911AF">
        <w:rPr>
          <w:lang w:val="fr-FR"/>
        </w:rPr>
        <w:t>Rend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arrêt que voici, adopté à cette date :</w:t>
      </w:r>
    </w:p>
    <w:p w:rsidR="00052902" w:rsidRPr="00D911AF" w:rsidRDefault="00052902" w:rsidP="00D911AF">
      <w:pPr>
        <w:pStyle w:val="ECHRTitle1"/>
        <w:rPr>
          <w:lang w:val="fr-FR"/>
        </w:rPr>
      </w:pPr>
      <w:r w:rsidRPr="00D911AF">
        <w:rPr>
          <w:lang w:val="fr-FR"/>
        </w:rPr>
        <w:t>PROCÉDURE</w:t>
      </w:r>
    </w:p>
    <w:p w:rsidR="004836FA" w:rsidRPr="00D911AF" w:rsidRDefault="00D64638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BE36B2" w:rsidRPr="00D911AF">
        <w:rPr>
          <w:lang w:val="fr-FR"/>
        </w:rPr>
        <w:t>À</w:t>
      </w:r>
      <w:r w:rsidR="00B7514F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origine de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 xml:space="preserve">affaire se trouvent huit requêtes dirigées contre la République italienne et dont </w:t>
      </w:r>
      <w:r w:rsidR="00297E2A" w:rsidRPr="00D911AF">
        <w:rPr>
          <w:lang w:val="fr-FR"/>
        </w:rPr>
        <w:t>huit</w:t>
      </w:r>
      <w:r w:rsidR="00B7514F" w:rsidRPr="00D911AF">
        <w:rPr>
          <w:lang w:val="fr-FR"/>
        </w:rPr>
        <w:t xml:space="preserve"> ressortissants de cet </w:t>
      </w:r>
      <w:r w:rsidR="00297E2A" w:rsidRPr="00D911AF">
        <w:rPr>
          <w:lang w:val="fr-FR"/>
        </w:rPr>
        <w:t>État</w:t>
      </w:r>
      <w:r w:rsidR="00B7514F" w:rsidRPr="00D911AF">
        <w:rPr>
          <w:lang w:val="fr-FR"/>
        </w:rPr>
        <w:t xml:space="preserve"> (« </w:t>
      </w:r>
      <w:r w:rsidR="00BC335A" w:rsidRPr="00D911AF">
        <w:rPr>
          <w:lang w:val="fr-FR"/>
        </w:rPr>
        <w:t>les requérants</w:t>
      </w:r>
      <w:r w:rsidR="00F114D5" w:rsidRPr="00D911AF">
        <w:rPr>
          <w:lang w:val="fr-FR"/>
        </w:rPr>
        <w:t> </w:t>
      </w:r>
      <w:r w:rsidR="00BC335A" w:rsidRPr="00D911AF">
        <w:rPr>
          <w:lang w:val="fr-FR"/>
        </w:rPr>
        <w:t>»</w:t>
      </w:r>
      <w:r w:rsidR="00D911AF" w:rsidRPr="00D911AF">
        <w:rPr>
          <w:lang w:val="fr-FR"/>
        </w:rPr>
        <w:t xml:space="preserve"> – </w:t>
      </w:r>
      <w:r w:rsidR="00BC335A" w:rsidRPr="00D911AF">
        <w:rPr>
          <w:lang w:val="fr-FR"/>
        </w:rPr>
        <w:t xml:space="preserve">voir </w:t>
      </w:r>
      <w:r w:rsidR="00F114D5" w:rsidRPr="00D911AF">
        <w:rPr>
          <w:lang w:val="fr-FR"/>
        </w:rPr>
        <w:t>a</w:t>
      </w:r>
      <w:r w:rsidR="00BC335A" w:rsidRPr="00D911AF">
        <w:rPr>
          <w:lang w:val="fr-FR"/>
        </w:rPr>
        <w:t>nnexe</w:t>
      </w:r>
      <w:r w:rsidR="0078111D" w:rsidRPr="00D911AF">
        <w:rPr>
          <w:lang w:val="fr-FR"/>
        </w:rPr>
        <w:t xml:space="preserve"> I</w:t>
      </w:r>
      <w:r w:rsidR="00BC335A" w:rsidRPr="00D911AF">
        <w:rPr>
          <w:lang w:val="fr-FR"/>
        </w:rPr>
        <w:t>) ont saisi la Cour en 2010</w:t>
      </w:r>
      <w:r w:rsidR="00B7514F" w:rsidRPr="00D911AF">
        <w:rPr>
          <w:lang w:val="fr-FR"/>
        </w:rPr>
        <w:t xml:space="preserve"> en vertu de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article</w:t>
      </w:r>
      <w:r w:rsidR="00330B2A" w:rsidRPr="00D911AF">
        <w:rPr>
          <w:lang w:val="fr-FR"/>
        </w:rPr>
        <w:t> </w:t>
      </w:r>
      <w:r w:rsidR="00B7514F" w:rsidRPr="00D911AF">
        <w:rPr>
          <w:lang w:val="fr-FR"/>
        </w:rPr>
        <w:t>34 de la Convention de sauvegarde des droits de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homme et des libertés fondamentales (« la Convention »).</w:t>
      </w:r>
    </w:p>
    <w:p w:rsidR="00B7514F" w:rsidRPr="00D911AF" w:rsidRDefault="004836FA" w:rsidP="00D911AF">
      <w:pPr>
        <w:pStyle w:val="ECHRPara"/>
        <w:rPr>
          <w:i/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</w:t>
      </w:r>
      <w:r w:rsidRPr="00D911AF">
        <w:rPr>
          <w:lang w:val="fr-FR"/>
        </w:rPr>
        <w:fldChar w:fldCharType="end"/>
      </w:r>
      <w:r w:rsidR="00052902" w:rsidRPr="00D911AF">
        <w:rPr>
          <w:lang w:val="fr-FR"/>
        </w:rPr>
        <w:t>.  </w:t>
      </w:r>
      <w:proofErr w:type="gramStart"/>
      <w:r w:rsidR="00052902" w:rsidRPr="00D911AF">
        <w:rPr>
          <w:lang w:val="fr-FR"/>
        </w:rPr>
        <w:t xml:space="preserve">Par un arrêt du </w:t>
      </w:r>
      <w:r w:rsidR="00BC335A" w:rsidRPr="00D911AF">
        <w:rPr>
          <w:lang w:val="fr-FR"/>
        </w:rPr>
        <w:t>15 avril 2014</w:t>
      </w:r>
      <w:r w:rsidR="00052902" w:rsidRPr="00D911AF">
        <w:rPr>
          <w:lang w:val="fr-FR"/>
        </w:rPr>
        <w:t xml:space="preserve"> (« l</w:t>
      </w:r>
      <w:r w:rsidR="00D911AF" w:rsidRPr="00D911AF">
        <w:rPr>
          <w:lang w:val="fr-FR"/>
        </w:rPr>
        <w:t>’</w:t>
      </w:r>
      <w:r w:rsidR="00052902" w:rsidRPr="00D911AF">
        <w:rPr>
          <w:lang w:val="fr-FR"/>
        </w:rPr>
        <w:t xml:space="preserve">arrêt </w:t>
      </w:r>
      <w:r w:rsidR="00BC335A" w:rsidRPr="00D911AF">
        <w:rPr>
          <w:lang w:val="fr-FR"/>
        </w:rPr>
        <w:t xml:space="preserve">au principal »), la Cour a jugé </w:t>
      </w:r>
      <w:r w:rsidR="00B7514F" w:rsidRPr="00D911AF">
        <w:rPr>
          <w:lang w:val="fr-FR"/>
        </w:rPr>
        <w:t>que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intervention législative litigieuse</w:t>
      </w:r>
      <w:r w:rsidR="00C4546A" w:rsidRPr="00D911AF">
        <w:rPr>
          <w:lang w:val="fr-FR"/>
        </w:rPr>
        <w:t xml:space="preserve">, </w:t>
      </w:r>
      <w:r w:rsidR="00330B2A" w:rsidRPr="00D911AF">
        <w:rPr>
          <w:lang w:val="fr-FR"/>
        </w:rPr>
        <w:t xml:space="preserve">à savoir </w:t>
      </w:r>
      <w:r w:rsidR="00352564" w:rsidRPr="00D911AF">
        <w:rPr>
          <w:lang w:val="fr-FR"/>
        </w:rPr>
        <w:t>l</w:t>
      </w:r>
      <w:r w:rsidR="00C4546A" w:rsidRPr="00D911AF">
        <w:rPr>
          <w:lang w:val="fr-FR"/>
        </w:rPr>
        <w:t>a loi n</w:t>
      </w:r>
      <w:r w:rsidR="00C4546A" w:rsidRPr="00D911AF">
        <w:rPr>
          <w:vertAlign w:val="superscript"/>
          <w:lang w:val="fr-FR"/>
        </w:rPr>
        <w:t>o</w:t>
      </w:r>
      <w:r w:rsidR="00C4546A" w:rsidRPr="00D911AF">
        <w:rPr>
          <w:lang w:val="fr-FR"/>
        </w:rPr>
        <w:t xml:space="preserve"> 296 de 2006 (</w:t>
      </w:r>
      <w:r w:rsidR="00360DE2" w:rsidRPr="00D911AF">
        <w:rPr>
          <w:lang w:val="fr-FR"/>
        </w:rPr>
        <w:t>dite aussi</w:t>
      </w:r>
      <w:r w:rsidR="00C4546A" w:rsidRPr="00D911AF">
        <w:rPr>
          <w:lang w:val="fr-FR"/>
        </w:rPr>
        <w:t xml:space="preserve"> « loi de finances pour 2007 » ou « loi d</w:t>
      </w:r>
      <w:r w:rsidR="00D911AF" w:rsidRPr="00D911AF">
        <w:rPr>
          <w:lang w:val="fr-FR"/>
        </w:rPr>
        <w:t>’</w:t>
      </w:r>
      <w:r w:rsidR="00C4546A" w:rsidRPr="00D911AF">
        <w:rPr>
          <w:lang w:val="fr-FR"/>
        </w:rPr>
        <w:t xml:space="preserve">interprétation authentique ») prise en son </w:t>
      </w:r>
      <w:r w:rsidR="009D7A43" w:rsidRPr="00D911AF">
        <w:rPr>
          <w:lang w:val="fr-FR"/>
        </w:rPr>
        <w:t>article 1</w:t>
      </w:r>
      <w:r w:rsidR="00352564" w:rsidRPr="00D911AF">
        <w:rPr>
          <w:lang w:val="fr-FR"/>
        </w:rPr>
        <w:t> </w:t>
      </w:r>
      <w:r w:rsidR="009D7A43" w:rsidRPr="00D911AF">
        <w:rPr>
          <w:lang w:val="fr-FR"/>
        </w:rPr>
        <w:t>§</w:t>
      </w:r>
      <w:r w:rsidR="00352564" w:rsidRPr="00D911AF">
        <w:rPr>
          <w:lang w:val="fr-FR"/>
        </w:rPr>
        <w:t> </w:t>
      </w:r>
      <w:r w:rsidR="009D7A43" w:rsidRPr="00D911AF">
        <w:rPr>
          <w:lang w:val="fr-FR"/>
        </w:rPr>
        <w:t>777</w:t>
      </w:r>
      <w:r w:rsidR="00B7514F" w:rsidRPr="00D911AF">
        <w:rPr>
          <w:lang w:val="fr-FR"/>
        </w:rPr>
        <w:t>, qui réglait définitivement, de manière rétroactive, le fond d</w:t>
      </w:r>
      <w:r w:rsidR="00BE36B2" w:rsidRPr="00D911AF">
        <w:rPr>
          <w:lang w:val="fr-FR"/>
        </w:rPr>
        <w:t xml:space="preserve">es </w:t>
      </w:r>
      <w:r w:rsidR="00B7514F" w:rsidRPr="00D911AF">
        <w:rPr>
          <w:lang w:val="fr-FR"/>
        </w:rPr>
        <w:t>litige</w:t>
      </w:r>
      <w:r w:rsidR="00BE36B2" w:rsidRPr="00D911AF">
        <w:rPr>
          <w:lang w:val="fr-FR"/>
        </w:rPr>
        <w:t>s</w:t>
      </w:r>
      <w:r w:rsidR="00B7514F" w:rsidRPr="00D911AF">
        <w:rPr>
          <w:lang w:val="fr-FR"/>
        </w:rPr>
        <w:t xml:space="preserve"> opposant les requérants à l</w:t>
      </w:r>
      <w:r w:rsidR="00D911AF" w:rsidRPr="00D911AF">
        <w:rPr>
          <w:lang w:val="fr-FR"/>
        </w:rPr>
        <w:t>’</w:t>
      </w:r>
      <w:r w:rsidR="00BC335A" w:rsidRPr="00D911AF">
        <w:rPr>
          <w:lang w:val="fr-FR"/>
        </w:rPr>
        <w:t>État</w:t>
      </w:r>
      <w:r w:rsidR="00B7514F" w:rsidRPr="00D911AF">
        <w:rPr>
          <w:lang w:val="fr-FR"/>
        </w:rPr>
        <w:t xml:space="preserve"> devant les juridictions internes, n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était pas justifiée par d</w:t>
      </w:r>
      <w:r w:rsidR="00182771" w:rsidRPr="00D911AF">
        <w:rPr>
          <w:lang w:val="fr-FR"/>
        </w:rPr>
        <w:t>es</w:t>
      </w:r>
      <w:r w:rsidR="00B7514F" w:rsidRPr="00D911AF">
        <w:rPr>
          <w:lang w:val="fr-FR"/>
        </w:rPr>
        <w:t xml:space="preserve"> motifs </w:t>
      </w:r>
      <w:r w:rsidR="00182771" w:rsidRPr="00D911AF">
        <w:rPr>
          <w:lang w:val="fr-FR"/>
        </w:rPr>
        <w:t xml:space="preserve">impérieux </w:t>
      </w:r>
      <w:r w:rsidR="00B7514F" w:rsidRPr="00D911AF">
        <w:rPr>
          <w:lang w:val="fr-FR"/>
        </w:rPr>
        <w:t>d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intérêt général et qu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il y avait donc violation de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article 6 § 1 de la Convention.</w:t>
      </w:r>
      <w:proofErr w:type="gramEnd"/>
      <w:r w:rsidR="00B7514F" w:rsidRPr="00D911AF">
        <w:rPr>
          <w:lang w:val="fr-FR"/>
        </w:rPr>
        <w:t xml:space="preserve"> Elle a également jugé que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atteinte portée aux biens des requérants avait revêtu un caractère disproportionné, rompant le juste équilibre entre les exigences de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intérêt général et la sauvegarde des droits fondamentaux des individus</w:t>
      </w:r>
      <w:r w:rsidR="00182771" w:rsidRPr="00D911AF">
        <w:rPr>
          <w:lang w:val="fr-FR"/>
        </w:rPr>
        <w:t>,</w:t>
      </w:r>
      <w:r w:rsidR="00B7514F" w:rsidRPr="00D911AF">
        <w:rPr>
          <w:lang w:val="fr-FR"/>
        </w:rPr>
        <w:t xml:space="preserve"> et avait </w:t>
      </w:r>
      <w:r w:rsidR="00360DE2" w:rsidRPr="00D911AF">
        <w:rPr>
          <w:lang w:val="fr-FR"/>
        </w:rPr>
        <w:t xml:space="preserve">emporté </w:t>
      </w:r>
      <w:r w:rsidR="00B7514F" w:rsidRPr="00D911AF">
        <w:rPr>
          <w:lang w:val="fr-FR"/>
        </w:rPr>
        <w:t>violatio</w:t>
      </w:r>
      <w:r w:rsidR="00A9590D" w:rsidRPr="00D911AF">
        <w:rPr>
          <w:lang w:val="fr-FR"/>
        </w:rPr>
        <w:t>n de l</w:t>
      </w:r>
      <w:r w:rsidR="00D911AF" w:rsidRPr="00D911AF">
        <w:rPr>
          <w:lang w:val="fr-FR"/>
        </w:rPr>
        <w:t>’</w:t>
      </w:r>
      <w:r w:rsidR="00A9590D" w:rsidRPr="00D911AF">
        <w:rPr>
          <w:lang w:val="fr-FR"/>
        </w:rPr>
        <w:t>article 1 du Protocole n</w:t>
      </w:r>
      <w:r w:rsidR="00144EF8" w:rsidRPr="00D911AF">
        <w:rPr>
          <w:vertAlign w:val="superscript"/>
          <w:lang w:val="fr-FR"/>
        </w:rPr>
        <w:t>o</w:t>
      </w:r>
      <w:r w:rsidR="00B7514F" w:rsidRPr="00D911AF">
        <w:rPr>
          <w:lang w:val="fr-FR"/>
        </w:rPr>
        <w:t xml:space="preserve"> 1</w:t>
      </w:r>
      <w:r w:rsidR="00182771" w:rsidRPr="00D911AF">
        <w:rPr>
          <w:lang w:val="fr-FR"/>
        </w:rPr>
        <w:t xml:space="preserve"> à la Convention </w:t>
      </w:r>
      <w:r w:rsidR="00B7514F" w:rsidRPr="00D911AF">
        <w:rPr>
          <w:lang w:val="fr-FR"/>
        </w:rPr>
        <w:t>(</w:t>
      </w:r>
      <w:proofErr w:type="spellStart"/>
      <w:r w:rsidR="00BC335A" w:rsidRPr="00D911AF">
        <w:rPr>
          <w:i/>
          <w:lang w:val="fr-FR"/>
        </w:rPr>
        <w:t>Stefanetti</w:t>
      </w:r>
      <w:proofErr w:type="spellEnd"/>
      <w:r w:rsidR="00BC335A" w:rsidRPr="00D911AF">
        <w:rPr>
          <w:i/>
          <w:lang w:val="fr-FR"/>
        </w:rPr>
        <w:t xml:space="preserve"> et autres c. Italie</w:t>
      </w:r>
      <w:r w:rsidR="00BC335A" w:rsidRPr="00D911AF">
        <w:rPr>
          <w:lang w:val="fr-FR"/>
        </w:rPr>
        <w:t>, n</w:t>
      </w:r>
      <w:r w:rsidR="00BC335A" w:rsidRPr="00D911AF">
        <w:rPr>
          <w:vertAlign w:val="superscript"/>
          <w:lang w:val="fr-FR"/>
        </w:rPr>
        <w:t>os</w:t>
      </w:r>
      <w:r w:rsidR="00BC335A" w:rsidRPr="00D911AF">
        <w:rPr>
          <w:lang w:val="fr-FR"/>
        </w:rPr>
        <w:t xml:space="preserve"> 21838/10, 21849/10, 21852/10, 218</w:t>
      </w:r>
      <w:r w:rsidR="0078111D" w:rsidRPr="00D911AF">
        <w:rPr>
          <w:lang w:val="fr-FR"/>
        </w:rPr>
        <w:t>55</w:t>
      </w:r>
      <w:r w:rsidR="00BC335A" w:rsidRPr="00D911AF">
        <w:rPr>
          <w:lang w:val="fr-FR"/>
        </w:rPr>
        <w:t>/10, 21860/10, 21863/10, 21869/10, et 21870/10</w:t>
      </w:r>
      <w:r w:rsidR="00BC335A" w:rsidRPr="00D911AF">
        <w:rPr>
          <w:snapToGrid w:val="0"/>
          <w:color w:val="000000"/>
          <w:lang w:val="fr-FR"/>
        </w:rPr>
        <w:t>, § 56-67</w:t>
      </w:r>
      <w:r w:rsidR="005D6B44" w:rsidRPr="00D911AF">
        <w:rPr>
          <w:snapToGrid w:val="0"/>
          <w:color w:val="000000"/>
          <w:lang w:val="fr-FR"/>
        </w:rPr>
        <w:t>, 15 </w:t>
      </w:r>
      <w:r w:rsidR="00BC335A" w:rsidRPr="00D911AF">
        <w:rPr>
          <w:color w:val="000000"/>
          <w:lang w:val="fr-FR"/>
        </w:rPr>
        <w:t>avril</w:t>
      </w:r>
      <w:r w:rsidR="00D911AF" w:rsidRPr="00D911AF">
        <w:rPr>
          <w:snapToGrid w:val="0"/>
          <w:color w:val="000000"/>
          <w:lang w:val="fr-FR"/>
        </w:rPr>
        <w:t xml:space="preserve"> </w:t>
      </w:r>
      <w:r w:rsidR="00BC335A" w:rsidRPr="00D911AF">
        <w:rPr>
          <w:snapToGrid w:val="0"/>
          <w:color w:val="000000"/>
          <w:lang w:val="fr-FR"/>
        </w:rPr>
        <w:t>2014</w:t>
      </w:r>
      <w:r w:rsidR="00B7514F" w:rsidRPr="00D911AF">
        <w:rPr>
          <w:lang w:val="fr-FR"/>
        </w:rPr>
        <w:t>).</w:t>
      </w:r>
    </w:p>
    <w:p w:rsidR="00052902" w:rsidRPr="00D911AF" w:rsidRDefault="004836FA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</w:t>
      </w:r>
      <w:r w:rsidRPr="00D911AF">
        <w:rPr>
          <w:lang w:val="fr-FR"/>
        </w:rPr>
        <w:fldChar w:fldCharType="end"/>
      </w:r>
      <w:r w:rsidR="00052902" w:rsidRPr="00D911AF">
        <w:rPr>
          <w:lang w:val="fr-FR"/>
        </w:rPr>
        <w:t>.  </w:t>
      </w:r>
      <w:r w:rsidR="00182771" w:rsidRPr="00D911AF">
        <w:rPr>
          <w:lang w:val="fr-FR"/>
        </w:rPr>
        <w:t>Sur le fondement de</w:t>
      </w:r>
      <w:r w:rsidR="00052902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="00052902" w:rsidRPr="00D911AF">
        <w:rPr>
          <w:lang w:val="fr-FR"/>
        </w:rPr>
        <w:t xml:space="preserve">article 41 de la Convention, </w:t>
      </w:r>
      <w:r w:rsidRPr="00D911AF">
        <w:rPr>
          <w:lang w:val="fr-FR"/>
        </w:rPr>
        <w:t>les requérants réclamaient</w:t>
      </w:r>
      <w:r w:rsidR="00052902" w:rsidRPr="00D911AF">
        <w:rPr>
          <w:lang w:val="fr-FR"/>
        </w:rPr>
        <w:t xml:space="preserve"> </w:t>
      </w:r>
      <w:r w:rsidR="003D568C" w:rsidRPr="00D911AF">
        <w:rPr>
          <w:lang w:val="fr-FR"/>
        </w:rPr>
        <w:t>des sommes à titre d</w:t>
      </w:r>
      <w:r w:rsidR="0078111D" w:rsidRPr="00D911AF">
        <w:rPr>
          <w:lang w:val="fr-FR"/>
        </w:rPr>
        <w:t xml:space="preserve">e satisfaction équitable (voir </w:t>
      </w:r>
      <w:r w:rsidR="00182771" w:rsidRPr="00D911AF">
        <w:rPr>
          <w:lang w:val="fr-FR"/>
        </w:rPr>
        <w:t>a</w:t>
      </w:r>
      <w:r w:rsidR="003D568C" w:rsidRPr="00D911AF">
        <w:rPr>
          <w:lang w:val="fr-FR"/>
        </w:rPr>
        <w:t>nnexe</w:t>
      </w:r>
      <w:r w:rsidR="00173E19" w:rsidRPr="00D911AF">
        <w:rPr>
          <w:lang w:val="fr-FR"/>
        </w:rPr>
        <w:t xml:space="preserve"> </w:t>
      </w:r>
      <w:r w:rsidR="0078111D" w:rsidRPr="00D911AF">
        <w:rPr>
          <w:lang w:val="fr-FR"/>
        </w:rPr>
        <w:t>II</w:t>
      </w:r>
      <w:r w:rsidR="003D568C" w:rsidRPr="00D911AF">
        <w:rPr>
          <w:lang w:val="fr-FR"/>
        </w:rPr>
        <w:t>)</w:t>
      </w:r>
      <w:r w:rsidR="00052902" w:rsidRPr="00D911AF">
        <w:rPr>
          <w:lang w:val="fr-FR"/>
        </w:rPr>
        <w:t>.</w:t>
      </w:r>
    </w:p>
    <w:p w:rsidR="00446A93" w:rsidRPr="00D911AF" w:rsidRDefault="004836FA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4</w:t>
      </w:r>
      <w:r w:rsidRPr="00D911AF">
        <w:rPr>
          <w:lang w:val="fr-FR"/>
        </w:rPr>
        <w:fldChar w:fldCharType="end"/>
      </w:r>
      <w:r w:rsidR="00052902" w:rsidRPr="00D911AF">
        <w:rPr>
          <w:lang w:val="fr-FR"/>
        </w:rPr>
        <w:t>.  </w:t>
      </w:r>
      <w:r w:rsidR="00BE36B2" w:rsidRPr="00D911AF">
        <w:rPr>
          <w:lang w:val="fr-FR"/>
        </w:rPr>
        <w:t xml:space="preserve">La Cour a accordé </w:t>
      </w:r>
      <w:r w:rsidR="0078111D" w:rsidRPr="00D911AF">
        <w:rPr>
          <w:lang w:val="fr-FR"/>
        </w:rPr>
        <w:t>à cha</w:t>
      </w:r>
      <w:r w:rsidR="00182771" w:rsidRPr="00D911AF">
        <w:rPr>
          <w:lang w:val="fr-FR"/>
        </w:rPr>
        <w:t>cun d</w:t>
      </w:r>
      <w:r w:rsidR="00903DF3" w:rsidRPr="00D911AF">
        <w:rPr>
          <w:lang w:val="fr-FR"/>
        </w:rPr>
        <w:t xml:space="preserve">es intéressés </w:t>
      </w:r>
      <w:r w:rsidR="00BE36B2" w:rsidRPr="00D911AF">
        <w:rPr>
          <w:lang w:val="fr-FR"/>
        </w:rPr>
        <w:t xml:space="preserve">12 000 </w:t>
      </w:r>
      <w:r w:rsidR="00182771" w:rsidRPr="00D911AF">
        <w:rPr>
          <w:lang w:val="fr-FR"/>
        </w:rPr>
        <w:t>euros (</w:t>
      </w:r>
      <w:r w:rsidR="00BE36B2" w:rsidRPr="00D911AF">
        <w:rPr>
          <w:lang w:val="fr-FR"/>
        </w:rPr>
        <w:t>EUR</w:t>
      </w:r>
      <w:r w:rsidR="00182771" w:rsidRPr="00D911AF">
        <w:rPr>
          <w:lang w:val="fr-FR"/>
        </w:rPr>
        <w:t>),</w:t>
      </w:r>
      <w:r w:rsidR="00BE36B2" w:rsidRPr="00D911AF">
        <w:rPr>
          <w:lang w:val="fr-FR"/>
        </w:rPr>
        <w:t xml:space="preserve"> </w:t>
      </w:r>
      <w:r w:rsidR="00903DF3" w:rsidRPr="00D911AF">
        <w:rPr>
          <w:lang w:val="fr-FR"/>
        </w:rPr>
        <w:t xml:space="preserve">plus </w:t>
      </w:r>
      <w:r w:rsidR="00BE36B2" w:rsidRPr="00D911AF">
        <w:rPr>
          <w:lang w:val="fr-FR"/>
        </w:rPr>
        <w:t>tout montant pouvant être dû à titre d</w:t>
      </w:r>
      <w:r w:rsidR="00D911AF" w:rsidRPr="00D911AF">
        <w:rPr>
          <w:lang w:val="fr-FR"/>
        </w:rPr>
        <w:t>’</w:t>
      </w:r>
      <w:r w:rsidR="00BE36B2" w:rsidRPr="00D911AF">
        <w:rPr>
          <w:lang w:val="fr-FR"/>
        </w:rPr>
        <w:t>impôt, pour dommage moral</w:t>
      </w:r>
      <w:r w:rsidR="007E209B" w:rsidRPr="00D911AF">
        <w:rPr>
          <w:lang w:val="fr-FR"/>
        </w:rPr>
        <w:t>. Elle</w:t>
      </w:r>
      <w:r w:rsidR="00BE36B2" w:rsidRPr="00D911AF">
        <w:rPr>
          <w:lang w:val="fr-FR"/>
        </w:rPr>
        <w:t xml:space="preserve"> a </w:t>
      </w:r>
      <w:r w:rsidR="007E209B" w:rsidRPr="00D911AF">
        <w:rPr>
          <w:lang w:val="fr-FR"/>
        </w:rPr>
        <w:t xml:space="preserve">en revanche </w:t>
      </w:r>
      <w:r w:rsidR="00BE36B2" w:rsidRPr="00D911AF">
        <w:rPr>
          <w:lang w:val="fr-FR"/>
        </w:rPr>
        <w:t>rejeté l</w:t>
      </w:r>
      <w:r w:rsidR="0078111D" w:rsidRPr="00D911AF">
        <w:rPr>
          <w:lang w:val="fr-FR"/>
        </w:rPr>
        <w:t>es</w:t>
      </w:r>
      <w:r w:rsidR="00BE36B2" w:rsidRPr="00D911AF">
        <w:rPr>
          <w:lang w:val="fr-FR"/>
        </w:rPr>
        <w:t xml:space="preserve"> demande</w:t>
      </w:r>
      <w:r w:rsidR="0078111D" w:rsidRPr="00D911AF">
        <w:rPr>
          <w:lang w:val="fr-FR"/>
        </w:rPr>
        <w:t>s de remboursement</w:t>
      </w:r>
      <w:r w:rsidR="00BE36B2" w:rsidRPr="00D911AF">
        <w:rPr>
          <w:lang w:val="fr-FR"/>
        </w:rPr>
        <w:t xml:space="preserve"> concernant l</w:t>
      </w:r>
      <w:r w:rsidR="00446A93" w:rsidRPr="00D911AF">
        <w:rPr>
          <w:lang w:val="fr-FR"/>
        </w:rPr>
        <w:t>es frais et dépens</w:t>
      </w:r>
      <w:r w:rsidR="007E209B" w:rsidRPr="00D911AF">
        <w:rPr>
          <w:lang w:val="fr-FR"/>
        </w:rPr>
        <w:t>,</w:t>
      </w:r>
      <w:r w:rsidR="0078111D" w:rsidRPr="00D911AF">
        <w:rPr>
          <w:lang w:val="fr-FR"/>
        </w:rPr>
        <w:t xml:space="preserve"> faute de preuve de l</w:t>
      </w:r>
      <w:r w:rsidR="007E209B" w:rsidRPr="00D911AF">
        <w:rPr>
          <w:lang w:val="fr-FR"/>
        </w:rPr>
        <w:t>a</w:t>
      </w:r>
      <w:r w:rsidR="0078111D" w:rsidRPr="00D911AF">
        <w:rPr>
          <w:lang w:val="fr-FR"/>
        </w:rPr>
        <w:t xml:space="preserve"> réalité</w:t>
      </w:r>
      <w:r w:rsidR="007E209B" w:rsidRPr="00D911AF">
        <w:rPr>
          <w:lang w:val="fr-FR"/>
        </w:rPr>
        <w:t xml:space="preserve"> de ceux-ci</w:t>
      </w:r>
      <w:r w:rsidR="00BE36B2" w:rsidRPr="00D911AF">
        <w:rPr>
          <w:lang w:val="fr-FR"/>
        </w:rPr>
        <w:t>.</w:t>
      </w:r>
    </w:p>
    <w:p w:rsidR="00144EF8" w:rsidRPr="00D911AF" w:rsidRDefault="00BE36B2" w:rsidP="00D911AF">
      <w:pPr>
        <w:pStyle w:val="ECHRPara"/>
        <w:rPr>
          <w:lang w:val="fr-FR"/>
        </w:rPr>
      </w:pPr>
      <w:r w:rsidRPr="00D911AF">
        <w:rPr>
          <w:lang w:val="fr-FR"/>
        </w:rPr>
        <w:lastRenderedPageBreak/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5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446A93" w:rsidRPr="00D911AF">
        <w:rPr>
          <w:lang w:val="fr-FR"/>
        </w:rPr>
        <w:t>Pour ce qui est du dommage matériel, elle a estimé que la question de l</w:t>
      </w:r>
      <w:r w:rsidR="00D911AF" w:rsidRPr="00D911AF">
        <w:rPr>
          <w:lang w:val="fr-FR"/>
        </w:rPr>
        <w:t>’</w:t>
      </w:r>
      <w:r w:rsidR="00446A93" w:rsidRPr="00D911AF">
        <w:rPr>
          <w:lang w:val="fr-FR"/>
        </w:rPr>
        <w:t>indemnisation du préjudice subi ne se trouvait pas en état. Elle a donc réservé</w:t>
      </w:r>
      <w:r w:rsidR="007E209B" w:rsidRPr="00D911AF">
        <w:rPr>
          <w:lang w:val="fr-FR"/>
        </w:rPr>
        <w:t xml:space="preserve"> cette question,</w:t>
      </w:r>
      <w:r w:rsidR="00446A93" w:rsidRPr="00D911AF">
        <w:rPr>
          <w:lang w:val="fr-FR"/>
        </w:rPr>
        <w:t xml:space="preserve"> </w:t>
      </w:r>
      <w:r w:rsidR="00173E19" w:rsidRPr="00D911AF">
        <w:rPr>
          <w:lang w:val="fr-FR"/>
        </w:rPr>
        <w:t xml:space="preserve">et </w:t>
      </w:r>
      <w:r w:rsidR="007E209B" w:rsidRPr="00D911AF">
        <w:rPr>
          <w:lang w:val="fr-FR"/>
        </w:rPr>
        <w:t xml:space="preserve">a </w:t>
      </w:r>
      <w:r w:rsidR="00173E19" w:rsidRPr="00D911AF">
        <w:rPr>
          <w:lang w:val="fr-FR"/>
        </w:rPr>
        <w:t>invité le Gouvernement et les requérants</w:t>
      </w:r>
      <w:r w:rsidR="00446A93" w:rsidRPr="00D911AF">
        <w:rPr>
          <w:lang w:val="fr-FR"/>
        </w:rPr>
        <w:t xml:space="preserve"> à lui soumettre par écrit, dans les trois mois, leurs observations sur ce point et, notamment, à lui donner connaissance de tout accord auquel ils pourraient aboutir (</w:t>
      </w:r>
      <w:r w:rsidR="00CE6E01" w:rsidRPr="00D911AF">
        <w:rPr>
          <w:lang w:val="fr-FR"/>
        </w:rPr>
        <w:t>paragraphe</w:t>
      </w:r>
      <w:r w:rsidR="00446A93" w:rsidRPr="00D911AF">
        <w:rPr>
          <w:lang w:val="fr-FR"/>
        </w:rPr>
        <w:t xml:space="preserve"> 73</w:t>
      </w:r>
      <w:r w:rsidR="0053213C" w:rsidRPr="00D911AF">
        <w:rPr>
          <w:lang w:val="fr-FR"/>
        </w:rPr>
        <w:t xml:space="preserve"> de l</w:t>
      </w:r>
      <w:r w:rsidR="00D911AF" w:rsidRPr="00D911AF">
        <w:rPr>
          <w:lang w:val="fr-FR"/>
        </w:rPr>
        <w:t>’</w:t>
      </w:r>
      <w:r w:rsidR="0053213C" w:rsidRPr="00D911AF">
        <w:rPr>
          <w:lang w:val="fr-FR"/>
        </w:rPr>
        <w:t>arrêt au principal</w:t>
      </w:r>
      <w:r w:rsidR="00446A93" w:rsidRPr="00D911AF">
        <w:rPr>
          <w:lang w:val="fr-FR"/>
        </w:rPr>
        <w:t xml:space="preserve"> et point 5 b) et c) du dispositif).</w:t>
      </w:r>
    </w:p>
    <w:p w:rsidR="00052902" w:rsidRPr="00D911AF" w:rsidRDefault="004836FA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6</w:t>
      </w:r>
      <w:r w:rsidRPr="00D911AF">
        <w:rPr>
          <w:lang w:val="fr-FR"/>
        </w:rPr>
        <w:fldChar w:fldCharType="end"/>
      </w:r>
      <w:r w:rsidR="00052902" w:rsidRPr="00D911AF">
        <w:rPr>
          <w:lang w:val="fr-FR"/>
        </w:rPr>
        <w:t xml:space="preserve">.  Tant </w:t>
      </w:r>
      <w:r w:rsidRPr="00D911AF">
        <w:rPr>
          <w:lang w:val="fr-FR"/>
        </w:rPr>
        <w:t>les requérants</w:t>
      </w:r>
      <w:r w:rsidR="00052902" w:rsidRPr="00D911AF">
        <w:rPr>
          <w:lang w:val="fr-FR"/>
        </w:rPr>
        <w:t xml:space="preserve"> que le Gouvernement ont déposé des observations.</w:t>
      </w:r>
    </w:p>
    <w:p w:rsidR="00052902" w:rsidRPr="00D911AF" w:rsidRDefault="00052902" w:rsidP="00D911AF">
      <w:pPr>
        <w:pStyle w:val="ECHRTitle1"/>
        <w:rPr>
          <w:lang w:val="fr-FR"/>
        </w:rPr>
      </w:pPr>
      <w:r w:rsidRPr="00D911AF">
        <w:rPr>
          <w:lang w:val="fr-FR"/>
        </w:rPr>
        <w:t>EN DROIT</w:t>
      </w:r>
    </w:p>
    <w:p w:rsidR="00B7514F" w:rsidRPr="00D911AF" w:rsidRDefault="004836FA" w:rsidP="00D911AF">
      <w:pPr>
        <w:pStyle w:val="ECHRPara"/>
        <w:keepNext/>
        <w:keepLines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7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B7514F" w:rsidRPr="00D911AF">
        <w:rPr>
          <w:lang w:val="fr-FR"/>
        </w:rPr>
        <w:t>Aux termes de l</w:t>
      </w:r>
      <w:r w:rsidR="00D911AF" w:rsidRPr="00D911AF">
        <w:rPr>
          <w:lang w:val="fr-FR"/>
        </w:rPr>
        <w:t>’</w:t>
      </w:r>
      <w:r w:rsidR="00B7514F" w:rsidRPr="00D911AF">
        <w:rPr>
          <w:lang w:val="fr-FR"/>
        </w:rPr>
        <w:t>article 41 de la Convention,</w:t>
      </w:r>
    </w:p>
    <w:p w:rsidR="004836FA" w:rsidRPr="00D911AF" w:rsidRDefault="00B7514F" w:rsidP="00D911AF">
      <w:pPr>
        <w:pStyle w:val="ECHRParaQuote"/>
        <w:keepNext/>
        <w:keepLines/>
        <w:rPr>
          <w:lang w:val="fr-FR"/>
        </w:rPr>
      </w:pPr>
      <w:r w:rsidRPr="00D911AF">
        <w:rPr>
          <w:lang w:val="fr-FR"/>
        </w:rPr>
        <w:t>« Si la Cour déclare qu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il y a eu violation de la Convention ou de ses Protocoles, et si le droit interne de la Haute Partie contractante ne permet d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effacer qu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imparfaitement les conséquences de cette violation, la Cour accorde à la partie lésée, s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il y a lieu, une satisfaction équitable. »</w:t>
      </w:r>
    </w:p>
    <w:p w:rsidR="00BE36B2" w:rsidRPr="00D911AF" w:rsidRDefault="004836FA" w:rsidP="00D911AF">
      <w:pPr>
        <w:pStyle w:val="ECHRHeading2"/>
        <w:rPr>
          <w:lang w:val="fr-FR"/>
        </w:rPr>
      </w:pPr>
      <w:r w:rsidRPr="00D911AF">
        <w:rPr>
          <w:lang w:val="fr-FR"/>
        </w:rPr>
        <w:t>A.</w:t>
      </w:r>
      <w:proofErr w:type="gramStart"/>
      <w:r w:rsidRPr="00D911AF">
        <w:rPr>
          <w:lang w:val="fr-FR"/>
        </w:rPr>
        <w:t>  Dommage</w:t>
      </w:r>
      <w:proofErr w:type="gramEnd"/>
    </w:p>
    <w:p w:rsidR="00BE36B2" w:rsidRPr="00D911AF" w:rsidRDefault="00BE36B2" w:rsidP="00D911AF">
      <w:pPr>
        <w:pStyle w:val="ECHRHeading3"/>
        <w:rPr>
          <w:lang w:val="fr-FR"/>
        </w:rPr>
      </w:pPr>
      <w:r w:rsidRPr="00D911AF">
        <w:rPr>
          <w:lang w:val="fr-FR"/>
        </w:rPr>
        <w:t>1.</w:t>
      </w:r>
      <w:r w:rsidR="00F97626" w:rsidRPr="00D911AF">
        <w:rPr>
          <w:lang w:val="fr-FR"/>
        </w:rPr>
        <w:t>  </w:t>
      </w:r>
      <w:r w:rsidR="007E209B" w:rsidRPr="00D911AF">
        <w:rPr>
          <w:lang w:val="fr-FR"/>
        </w:rPr>
        <w:t>Les a</w:t>
      </w:r>
      <w:r w:rsidRPr="00D911AF">
        <w:rPr>
          <w:lang w:val="fr-FR"/>
        </w:rPr>
        <w:t>rguments des parties</w:t>
      </w:r>
    </w:p>
    <w:p w:rsidR="00BE36B2" w:rsidRPr="00D911AF" w:rsidRDefault="00BE36B2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8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B614AA" w:rsidRPr="00D911AF">
        <w:rPr>
          <w:lang w:val="fr-FR"/>
        </w:rPr>
        <w:t xml:space="preserve">Les requérants </w:t>
      </w:r>
      <w:r w:rsidR="008B1684" w:rsidRPr="00D911AF">
        <w:rPr>
          <w:lang w:val="fr-FR"/>
        </w:rPr>
        <w:t xml:space="preserve">demandent à la Cour de </w:t>
      </w:r>
      <w:r w:rsidR="009D6113" w:rsidRPr="00D911AF">
        <w:rPr>
          <w:lang w:val="fr-FR"/>
        </w:rPr>
        <w:t xml:space="preserve">prendre en </w:t>
      </w:r>
      <w:r w:rsidR="008B1684" w:rsidRPr="00D911AF">
        <w:rPr>
          <w:lang w:val="fr-FR"/>
        </w:rPr>
        <w:t>considér</w:t>
      </w:r>
      <w:r w:rsidR="009D6113" w:rsidRPr="00D911AF">
        <w:rPr>
          <w:lang w:val="fr-FR"/>
        </w:rPr>
        <w:t>ation</w:t>
      </w:r>
      <w:r w:rsidR="00BF600F" w:rsidRPr="00D911AF">
        <w:rPr>
          <w:lang w:val="fr-FR"/>
        </w:rPr>
        <w:t>, pour chacun d</w:t>
      </w:r>
      <w:r w:rsidR="00D911AF" w:rsidRPr="00D911AF">
        <w:rPr>
          <w:lang w:val="fr-FR"/>
        </w:rPr>
        <w:t>’</w:t>
      </w:r>
      <w:r w:rsidR="00BF600F" w:rsidRPr="00D911AF">
        <w:rPr>
          <w:lang w:val="fr-FR"/>
        </w:rPr>
        <w:t>entre eux,</w:t>
      </w:r>
      <w:r w:rsidR="008B1684" w:rsidRPr="00D911AF">
        <w:rPr>
          <w:lang w:val="fr-FR"/>
        </w:rPr>
        <w:t xml:space="preserve"> </w:t>
      </w:r>
      <w:r w:rsidR="00701CC3" w:rsidRPr="00D911AF">
        <w:rPr>
          <w:lang w:val="fr-FR"/>
        </w:rPr>
        <w:t xml:space="preserve">la différence </w:t>
      </w:r>
      <w:r w:rsidR="00537205" w:rsidRPr="00D911AF">
        <w:rPr>
          <w:lang w:val="fr-FR"/>
        </w:rPr>
        <w:t xml:space="preserve">de montant </w:t>
      </w:r>
      <w:r w:rsidR="00701CC3" w:rsidRPr="00D911AF">
        <w:rPr>
          <w:lang w:val="fr-FR"/>
        </w:rPr>
        <w:t xml:space="preserve">entre la pension qui aurait dû </w:t>
      </w:r>
      <w:r w:rsidR="003A008F" w:rsidRPr="00D911AF">
        <w:rPr>
          <w:lang w:val="fr-FR"/>
        </w:rPr>
        <w:t xml:space="preserve">être </w:t>
      </w:r>
      <w:r w:rsidR="00701CC3" w:rsidRPr="00D911AF">
        <w:rPr>
          <w:lang w:val="fr-FR"/>
        </w:rPr>
        <w:t>obten</w:t>
      </w:r>
      <w:r w:rsidR="00BF600F" w:rsidRPr="00D911AF">
        <w:rPr>
          <w:lang w:val="fr-FR"/>
        </w:rPr>
        <w:t>ue</w:t>
      </w:r>
      <w:r w:rsidR="00701CC3" w:rsidRPr="00D911AF">
        <w:rPr>
          <w:lang w:val="fr-FR"/>
        </w:rPr>
        <w:t xml:space="preserve"> en l</w:t>
      </w:r>
      <w:r w:rsidR="00D911AF" w:rsidRPr="00D911AF">
        <w:rPr>
          <w:lang w:val="fr-FR"/>
        </w:rPr>
        <w:t>’</w:t>
      </w:r>
      <w:r w:rsidR="00701CC3" w:rsidRPr="00D911AF">
        <w:rPr>
          <w:lang w:val="fr-FR"/>
        </w:rPr>
        <w:t>absence de l</w:t>
      </w:r>
      <w:r w:rsidR="00D911AF" w:rsidRPr="00D911AF">
        <w:rPr>
          <w:lang w:val="fr-FR"/>
        </w:rPr>
        <w:t>’</w:t>
      </w:r>
      <w:r w:rsidR="00701CC3" w:rsidRPr="00D911AF">
        <w:rPr>
          <w:lang w:val="fr-FR"/>
        </w:rPr>
        <w:t xml:space="preserve">intervention législative litigieuse et celle qui </w:t>
      </w:r>
      <w:r w:rsidR="00BF600F" w:rsidRPr="00D911AF">
        <w:rPr>
          <w:lang w:val="fr-FR"/>
        </w:rPr>
        <w:t xml:space="preserve">sera </w:t>
      </w:r>
      <w:r w:rsidR="00701CC3" w:rsidRPr="00D911AF">
        <w:rPr>
          <w:lang w:val="fr-FR"/>
        </w:rPr>
        <w:t>effectivement</w:t>
      </w:r>
      <w:r w:rsidR="00434FCF" w:rsidRPr="00D911AF">
        <w:rPr>
          <w:lang w:val="fr-FR"/>
        </w:rPr>
        <w:t xml:space="preserve"> </w:t>
      </w:r>
      <w:r w:rsidR="00BF600F" w:rsidRPr="00D911AF">
        <w:rPr>
          <w:lang w:val="fr-FR"/>
        </w:rPr>
        <w:t xml:space="preserve">perçue </w:t>
      </w:r>
      <w:r w:rsidR="00E31B09" w:rsidRPr="00D911AF">
        <w:rPr>
          <w:lang w:val="fr-FR"/>
        </w:rPr>
        <w:t>jusqu</w:t>
      </w:r>
      <w:r w:rsidR="00D911AF" w:rsidRPr="00D911AF">
        <w:rPr>
          <w:lang w:val="fr-FR"/>
        </w:rPr>
        <w:t>’</w:t>
      </w:r>
      <w:r w:rsidR="00E31B09" w:rsidRPr="00D911AF">
        <w:rPr>
          <w:lang w:val="fr-FR"/>
        </w:rPr>
        <w:t xml:space="preserve">à la fin de vie </w:t>
      </w:r>
      <w:r w:rsidR="00BF600F" w:rsidRPr="00D911AF">
        <w:rPr>
          <w:lang w:val="fr-FR"/>
        </w:rPr>
        <w:t>basée</w:t>
      </w:r>
      <w:r w:rsidR="00FB4E5B" w:rsidRPr="00D911AF">
        <w:rPr>
          <w:lang w:val="fr-FR"/>
        </w:rPr>
        <w:t xml:space="preserve"> sur </w:t>
      </w:r>
      <w:r w:rsidR="00E31B09" w:rsidRPr="00D911AF">
        <w:rPr>
          <w:lang w:val="fr-FR"/>
        </w:rPr>
        <w:t>une estimation de l</w:t>
      </w:r>
      <w:r w:rsidR="00D911AF" w:rsidRPr="00D911AF">
        <w:rPr>
          <w:lang w:val="fr-FR"/>
        </w:rPr>
        <w:t>’</w:t>
      </w:r>
      <w:r w:rsidR="00E31B09" w:rsidRPr="00D911AF">
        <w:rPr>
          <w:lang w:val="fr-FR"/>
        </w:rPr>
        <w:t>espérance de vie résiduelle</w:t>
      </w:r>
      <w:r w:rsidR="00BF600F" w:rsidRPr="00D911AF">
        <w:rPr>
          <w:lang w:val="fr-FR"/>
        </w:rPr>
        <w:t xml:space="preserve">. </w:t>
      </w:r>
      <w:r w:rsidR="00934747" w:rsidRPr="00D911AF">
        <w:rPr>
          <w:lang w:val="fr-FR"/>
        </w:rPr>
        <w:t>Ils réclament une satisfaction équitable équivalant à la totalité de</w:t>
      </w:r>
      <w:r w:rsidR="00BF600F" w:rsidRPr="00D911AF">
        <w:rPr>
          <w:lang w:val="fr-FR"/>
        </w:rPr>
        <w:t>s</w:t>
      </w:r>
      <w:r w:rsidR="00934747" w:rsidRPr="00D911AF">
        <w:rPr>
          <w:lang w:val="fr-FR"/>
        </w:rPr>
        <w:t xml:space="preserve"> part</w:t>
      </w:r>
      <w:r w:rsidR="00BF600F" w:rsidRPr="00D911AF">
        <w:rPr>
          <w:lang w:val="fr-FR"/>
        </w:rPr>
        <w:t>s</w:t>
      </w:r>
      <w:r w:rsidR="00934747" w:rsidRPr="00D911AF">
        <w:rPr>
          <w:lang w:val="fr-FR"/>
        </w:rPr>
        <w:t xml:space="preserve"> de pension </w:t>
      </w:r>
      <w:r w:rsidR="00537205" w:rsidRPr="00D911AF">
        <w:rPr>
          <w:lang w:val="fr-FR"/>
        </w:rPr>
        <w:t>qui serai</w:t>
      </w:r>
      <w:r w:rsidR="00BF600F" w:rsidRPr="00D911AF">
        <w:rPr>
          <w:lang w:val="fr-FR"/>
        </w:rPr>
        <w:t>en</w:t>
      </w:r>
      <w:r w:rsidR="00537205" w:rsidRPr="00D911AF">
        <w:rPr>
          <w:lang w:val="fr-FR"/>
        </w:rPr>
        <w:t xml:space="preserve">t ainsi </w:t>
      </w:r>
      <w:r w:rsidR="00934747" w:rsidRPr="00D911AF">
        <w:rPr>
          <w:lang w:val="fr-FR"/>
        </w:rPr>
        <w:t>perdue</w:t>
      </w:r>
      <w:r w:rsidR="00BF600F" w:rsidRPr="00D911AF">
        <w:rPr>
          <w:lang w:val="fr-FR"/>
        </w:rPr>
        <w:t>s</w:t>
      </w:r>
      <w:r w:rsidR="00701CC3" w:rsidRPr="00D911AF">
        <w:rPr>
          <w:lang w:val="fr-FR"/>
        </w:rPr>
        <w:t xml:space="preserve"> (voir </w:t>
      </w:r>
      <w:r w:rsidR="00247345" w:rsidRPr="00D911AF">
        <w:rPr>
          <w:lang w:val="fr-FR"/>
        </w:rPr>
        <w:t>a</w:t>
      </w:r>
      <w:r w:rsidR="00701CC3" w:rsidRPr="00D911AF">
        <w:rPr>
          <w:lang w:val="fr-FR"/>
        </w:rPr>
        <w:t>nnexe II)</w:t>
      </w:r>
      <w:r w:rsidR="005678F7" w:rsidRPr="00D911AF">
        <w:rPr>
          <w:lang w:val="fr-FR"/>
        </w:rPr>
        <w:t>.</w:t>
      </w:r>
    </w:p>
    <w:p w:rsidR="00D911AF" w:rsidRPr="00D911AF" w:rsidRDefault="00DB47FC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9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ED7E5F" w:rsidRPr="00D911AF">
        <w:rPr>
          <w:lang w:val="fr-FR"/>
        </w:rPr>
        <w:t>Le Gouvernement conteste c</w:t>
      </w:r>
      <w:r w:rsidR="00BE36B2" w:rsidRPr="00D911AF">
        <w:rPr>
          <w:lang w:val="fr-FR"/>
        </w:rPr>
        <w:t xml:space="preserve">es prétentions. </w:t>
      </w:r>
      <w:r w:rsidRPr="00D911AF">
        <w:rPr>
          <w:lang w:val="fr-FR"/>
        </w:rPr>
        <w:t>Il</w:t>
      </w:r>
      <w:r w:rsidR="00BE36B2" w:rsidRPr="00D911AF">
        <w:rPr>
          <w:lang w:val="fr-FR"/>
        </w:rPr>
        <w:t xml:space="preserve"> demande à la Cour de déterminer la satisfaction équitable sur la base d</w:t>
      </w:r>
      <w:r w:rsidR="00ED7E5F" w:rsidRPr="00D911AF">
        <w:rPr>
          <w:lang w:val="fr-FR"/>
        </w:rPr>
        <w:t xml:space="preserve">e la diminution réelle du montant des pensions des requérants </w:t>
      </w:r>
      <w:r w:rsidR="00F47FB9" w:rsidRPr="00D911AF">
        <w:rPr>
          <w:lang w:val="fr-FR"/>
        </w:rPr>
        <w:t>en raison</w:t>
      </w:r>
      <w:r w:rsidR="00BE36B2" w:rsidRPr="00D911AF">
        <w:rPr>
          <w:lang w:val="fr-FR"/>
        </w:rPr>
        <w:t xml:space="preserve"> de l</w:t>
      </w:r>
      <w:r w:rsidR="00D911AF" w:rsidRPr="00D911AF">
        <w:rPr>
          <w:lang w:val="fr-FR"/>
        </w:rPr>
        <w:t>’</w:t>
      </w:r>
      <w:r w:rsidR="00BE36B2" w:rsidRPr="00D911AF">
        <w:rPr>
          <w:lang w:val="fr-FR"/>
        </w:rPr>
        <w:t xml:space="preserve">entrée en vigueur de la </w:t>
      </w:r>
      <w:r w:rsidR="00C3496F" w:rsidRPr="00D911AF">
        <w:rPr>
          <w:lang w:val="fr-FR"/>
        </w:rPr>
        <w:t>loi n</w:t>
      </w:r>
      <w:r w:rsidR="00144EF8" w:rsidRPr="00D911AF">
        <w:rPr>
          <w:vertAlign w:val="superscript"/>
          <w:lang w:val="fr-FR"/>
        </w:rPr>
        <w:t>o</w:t>
      </w:r>
      <w:r w:rsidR="00C3496F" w:rsidRPr="00D911AF">
        <w:rPr>
          <w:lang w:val="fr-FR"/>
        </w:rPr>
        <w:t xml:space="preserve"> 296 de 2006</w:t>
      </w:r>
      <w:r w:rsidR="00247345" w:rsidRPr="00D911AF">
        <w:rPr>
          <w:lang w:val="fr-FR"/>
        </w:rPr>
        <w:t>,</w:t>
      </w:r>
      <w:r w:rsidR="00ED7E5F" w:rsidRPr="00D911AF">
        <w:rPr>
          <w:lang w:val="fr-FR"/>
        </w:rPr>
        <w:t xml:space="preserve"> et </w:t>
      </w:r>
      <w:r w:rsidR="00247345" w:rsidRPr="00D911AF">
        <w:rPr>
          <w:lang w:val="fr-FR"/>
        </w:rPr>
        <w:t xml:space="preserve">il </w:t>
      </w:r>
      <w:r w:rsidR="00BE36B2" w:rsidRPr="00D911AF">
        <w:rPr>
          <w:lang w:val="fr-FR"/>
        </w:rPr>
        <w:t>chiffr</w:t>
      </w:r>
      <w:r w:rsidR="00ED7E5F" w:rsidRPr="00D911AF">
        <w:rPr>
          <w:lang w:val="fr-FR"/>
        </w:rPr>
        <w:t>e</w:t>
      </w:r>
      <w:r w:rsidR="00BE36B2" w:rsidRPr="00D911AF">
        <w:rPr>
          <w:lang w:val="fr-FR"/>
        </w:rPr>
        <w:t xml:space="preserve"> le préjudice subi par </w:t>
      </w:r>
      <w:r w:rsidR="00247345" w:rsidRPr="00D911AF">
        <w:rPr>
          <w:lang w:val="fr-FR"/>
        </w:rPr>
        <w:t>c</w:t>
      </w:r>
      <w:r w:rsidR="00ED7E5F" w:rsidRPr="00D911AF">
        <w:rPr>
          <w:lang w:val="fr-FR"/>
        </w:rPr>
        <w:t>eux</w:t>
      </w:r>
      <w:r w:rsidR="00247345" w:rsidRPr="00D911AF">
        <w:rPr>
          <w:lang w:val="fr-FR"/>
        </w:rPr>
        <w:t>-ci en</w:t>
      </w:r>
      <w:r w:rsidR="00ED7E5F" w:rsidRPr="00D911AF">
        <w:rPr>
          <w:lang w:val="fr-FR"/>
        </w:rPr>
        <w:t xml:space="preserve"> se fondant sur le calcul des</w:t>
      </w:r>
      <w:r w:rsidR="00BE36B2" w:rsidRPr="00D911AF">
        <w:rPr>
          <w:lang w:val="fr-FR"/>
        </w:rPr>
        <w:t xml:space="preserve"> </w:t>
      </w:r>
      <w:r w:rsidR="00C919A7" w:rsidRPr="00D911AF">
        <w:rPr>
          <w:lang w:val="fr-FR"/>
        </w:rPr>
        <w:t xml:space="preserve">positions </w:t>
      </w:r>
      <w:r w:rsidR="00BE36B2" w:rsidRPr="00D911AF">
        <w:rPr>
          <w:lang w:val="fr-FR"/>
        </w:rPr>
        <w:t>i</w:t>
      </w:r>
      <w:r w:rsidRPr="00D911AF">
        <w:rPr>
          <w:lang w:val="fr-FR"/>
        </w:rPr>
        <w:t>ndividuelle</w:t>
      </w:r>
      <w:r w:rsidR="00ED7E5F" w:rsidRPr="00D911AF">
        <w:rPr>
          <w:lang w:val="fr-FR"/>
        </w:rPr>
        <w:t>s</w:t>
      </w:r>
      <w:r w:rsidRPr="00D911AF">
        <w:rPr>
          <w:lang w:val="fr-FR"/>
        </w:rPr>
        <w:t xml:space="preserve"> </w:t>
      </w:r>
      <w:r w:rsidR="00ED7E5F" w:rsidRPr="00D911AF">
        <w:rPr>
          <w:lang w:val="fr-FR"/>
        </w:rPr>
        <w:t xml:space="preserve">(voir </w:t>
      </w:r>
      <w:r w:rsidR="00247345" w:rsidRPr="00D911AF">
        <w:rPr>
          <w:lang w:val="fr-FR"/>
        </w:rPr>
        <w:t>a</w:t>
      </w:r>
      <w:r w:rsidR="004C1043" w:rsidRPr="00D911AF">
        <w:rPr>
          <w:lang w:val="fr-FR"/>
        </w:rPr>
        <w:t xml:space="preserve">nnexe </w:t>
      </w:r>
      <w:r w:rsidR="00ED7E5F" w:rsidRPr="00D911AF">
        <w:rPr>
          <w:lang w:val="fr-FR"/>
        </w:rPr>
        <w:t>III</w:t>
      </w:r>
      <w:r w:rsidR="004C1043" w:rsidRPr="00D911AF">
        <w:rPr>
          <w:lang w:val="fr-FR"/>
        </w:rPr>
        <w:t>)</w:t>
      </w:r>
      <w:r w:rsidR="00DA423C" w:rsidRPr="00D911AF">
        <w:rPr>
          <w:lang w:val="fr-FR"/>
        </w:rPr>
        <w:t xml:space="preserve">. </w:t>
      </w:r>
      <w:proofErr w:type="gramStart"/>
      <w:r w:rsidR="00754756" w:rsidRPr="00D911AF">
        <w:rPr>
          <w:lang w:val="fr-FR"/>
        </w:rPr>
        <w:t>Par ailleurs, l</w:t>
      </w:r>
      <w:r w:rsidR="00ED7E5F" w:rsidRPr="00D911AF">
        <w:rPr>
          <w:rFonts w:cstheme="minorHAnsi"/>
          <w:lang w:val="fr-FR"/>
        </w:rPr>
        <w:t>e Gouvernement</w:t>
      </w:r>
      <w:r w:rsidRPr="00D911AF">
        <w:rPr>
          <w:lang w:val="fr-FR"/>
        </w:rPr>
        <w:t xml:space="preserve"> a </w:t>
      </w:r>
      <w:r w:rsidR="00ED7E5F" w:rsidRPr="00D911AF">
        <w:rPr>
          <w:lang w:val="fr-FR"/>
        </w:rPr>
        <w:t xml:space="preserve">aussi </w:t>
      </w:r>
      <w:r w:rsidRPr="00D911AF">
        <w:rPr>
          <w:lang w:val="fr-FR"/>
        </w:rPr>
        <w:t>fourni</w:t>
      </w:r>
      <w:r w:rsidR="004C1043" w:rsidRPr="00D911AF">
        <w:rPr>
          <w:lang w:val="fr-FR"/>
        </w:rPr>
        <w:t>,</w:t>
      </w:r>
      <w:r w:rsidRPr="00D911AF">
        <w:rPr>
          <w:lang w:val="fr-FR"/>
        </w:rPr>
        <w:t xml:space="preserve"> </w:t>
      </w:r>
      <w:r w:rsidR="004C1043" w:rsidRPr="00D911AF">
        <w:rPr>
          <w:lang w:val="fr-FR"/>
        </w:rPr>
        <w:t>entre autres,</w:t>
      </w:r>
      <w:r w:rsidR="00DA423C" w:rsidRPr="00D911AF">
        <w:rPr>
          <w:lang w:val="fr-FR"/>
        </w:rPr>
        <w:t xml:space="preserve"> </w:t>
      </w:r>
      <w:r w:rsidRPr="00D911AF">
        <w:rPr>
          <w:lang w:val="fr-FR"/>
        </w:rPr>
        <w:t xml:space="preserve">deux tableaux </w:t>
      </w:r>
      <w:r w:rsidR="00DA423C" w:rsidRPr="00D911AF">
        <w:rPr>
          <w:lang w:val="fr-FR"/>
        </w:rPr>
        <w:t>indiqua</w:t>
      </w:r>
      <w:r w:rsidRPr="00D911AF">
        <w:rPr>
          <w:lang w:val="fr-FR"/>
        </w:rPr>
        <w:t xml:space="preserve">nt les arriérés de pension que les requérants auraient pu </w:t>
      </w:r>
      <w:r w:rsidR="005678F7" w:rsidRPr="00D911AF">
        <w:rPr>
          <w:lang w:val="fr-FR"/>
        </w:rPr>
        <w:t>percev</w:t>
      </w:r>
      <w:r w:rsidRPr="00D911AF">
        <w:rPr>
          <w:lang w:val="fr-FR"/>
        </w:rPr>
        <w:t>oir en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absence de </w:t>
      </w:r>
      <w:r w:rsidR="00957DE3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957DE3" w:rsidRPr="00D911AF">
        <w:rPr>
          <w:lang w:val="fr-FR"/>
        </w:rPr>
        <w:t xml:space="preserve">adoption de </w:t>
      </w:r>
      <w:r w:rsidRPr="00D911AF">
        <w:rPr>
          <w:lang w:val="fr-FR"/>
        </w:rPr>
        <w:t xml:space="preserve">la loi de 2006 : le premier prend en compte la période </w:t>
      </w:r>
      <w:r w:rsidR="007309F3" w:rsidRPr="00D911AF">
        <w:rPr>
          <w:lang w:val="fr-FR"/>
        </w:rPr>
        <w:t>comprise entre l</w:t>
      </w:r>
      <w:r w:rsidR="00957DE3" w:rsidRPr="00D911AF">
        <w:rPr>
          <w:lang w:val="fr-FR"/>
        </w:rPr>
        <w:t>a date de</w:t>
      </w:r>
      <w:r w:rsidR="00ED7E5F" w:rsidRPr="00D911AF">
        <w:rPr>
          <w:lang w:val="fr-FR"/>
        </w:rPr>
        <w:t xml:space="preserve"> départ à la retraite des requérants </w:t>
      </w:r>
      <w:r w:rsidR="007309F3" w:rsidRPr="00D911AF">
        <w:rPr>
          <w:lang w:val="fr-FR"/>
        </w:rPr>
        <w:t>et la</w:t>
      </w:r>
      <w:r w:rsidR="00DA423C" w:rsidRPr="00D911AF">
        <w:rPr>
          <w:lang w:val="fr-FR"/>
        </w:rPr>
        <w:t xml:space="preserve"> date d</w:t>
      </w:r>
      <w:r w:rsidR="00771D4A" w:rsidRPr="00D911AF">
        <w:rPr>
          <w:lang w:val="fr-FR"/>
        </w:rPr>
        <w:t>e l</w:t>
      </w:r>
      <w:r w:rsidR="00D911AF" w:rsidRPr="00D911AF">
        <w:rPr>
          <w:lang w:val="fr-FR"/>
        </w:rPr>
        <w:t>’</w:t>
      </w:r>
      <w:r w:rsidR="00DA423C" w:rsidRPr="00D911AF">
        <w:rPr>
          <w:lang w:val="fr-FR"/>
        </w:rPr>
        <w:t>entrée en vigueur de la loi d</w:t>
      </w:r>
      <w:r w:rsidR="00D911AF" w:rsidRPr="00D911AF">
        <w:rPr>
          <w:lang w:val="fr-FR"/>
        </w:rPr>
        <w:t>’</w:t>
      </w:r>
      <w:r w:rsidR="00DA423C" w:rsidRPr="00D911AF">
        <w:rPr>
          <w:lang w:val="fr-FR"/>
        </w:rPr>
        <w:t>interprétation authentique</w:t>
      </w:r>
      <w:r w:rsidR="007309F3" w:rsidRPr="00D911AF">
        <w:rPr>
          <w:lang w:val="fr-FR"/>
        </w:rPr>
        <w:t xml:space="preserve"> </w:t>
      </w:r>
      <w:r w:rsidR="00771D4A" w:rsidRPr="00D911AF">
        <w:rPr>
          <w:lang w:val="fr-FR"/>
        </w:rPr>
        <w:t>de</w:t>
      </w:r>
      <w:r w:rsidR="007309F3" w:rsidRPr="00D911AF">
        <w:rPr>
          <w:lang w:val="fr-FR"/>
        </w:rPr>
        <w:t xml:space="preserve"> 2006,</w:t>
      </w:r>
      <w:r w:rsidR="00144EF8" w:rsidRPr="00D911AF">
        <w:rPr>
          <w:lang w:val="fr-FR"/>
        </w:rPr>
        <w:t xml:space="preserve"> </w:t>
      </w:r>
      <w:r w:rsidRPr="00D911AF">
        <w:rPr>
          <w:lang w:val="fr-FR"/>
        </w:rPr>
        <w:t xml:space="preserve">et le deuxième, </w:t>
      </w:r>
      <w:r w:rsidR="007309F3" w:rsidRPr="00D911AF">
        <w:rPr>
          <w:lang w:val="fr-FR"/>
        </w:rPr>
        <w:t>établi</w:t>
      </w:r>
      <w:r w:rsidR="00ED7E5F" w:rsidRPr="00D911AF">
        <w:rPr>
          <w:lang w:val="fr-FR"/>
        </w:rPr>
        <w:t xml:space="preserve"> par l</w:t>
      </w:r>
      <w:r w:rsidR="00D911AF" w:rsidRPr="00D911AF">
        <w:rPr>
          <w:lang w:val="fr-FR"/>
        </w:rPr>
        <w:t>’</w:t>
      </w:r>
      <w:r w:rsidR="00ED7E5F" w:rsidRPr="00D911AF">
        <w:rPr>
          <w:lang w:val="fr-FR"/>
        </w:rPr>
        <w:t xml:space="preserve">Institut </w:t>
      </w:r>
      <w:r w:rsidR="007309F3" w:rsidRPr="00D911AF">
        <w:rPr>
          <w:lang w:val="fr-FR"/>
        </w:rPr>
        <w:t>n</w:t>
      </w:r>
      <w:r w:rsidR="00ED7E5F" w:rsidRPr="00D911AF">
        <w:rPr>
          <w:lang w:val="fr-FR"/>
        </w:rPr>
        <w:t xml:space="preserve">ational de </w:t>
      </w:r>
      <w:r w:rsidR="007309F3" w:rsidRPr="00D911AF">
        <w:rPr>
          <w:lang w:val="fr-FR"/>
        </w:rPr>
        <w:t>s</w:t>
      </w:r>
      <w:r w:rsidR="00ED7E5F" w:rsidRPr="00D911AF">
        <w:rPr>
          <w:lang w:val="fr-FR"/>
        </w:rPr>
        <w:t xml:space="preserve">écurité </w:t>
      </w:r>
      <w:r w:rsidR="007309F3" w:rsidRPr="00D911AF">
        <w:rPr>
          <w:lang w:val="fr-FR"/>
        </w:rPr>
        <w:t>s</w:t>
      </w:r>
      <w:r w:rsidR="00ED7E5F" w:rsidRPr="00D911AF">
        <w:rPr>
          <w:lang w:val="fr-FR"/>
        </w:rPr>
        <w:t>ociale (« </w:t>
      </w:r>
      <w:r w:rsidR="007309F3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ED7E5F" w:rsidRPr="00D911AF">
        <w:rPr>
          <w:lang w:val="fr-FR"/>
        </w:rPr>
        <w:t xml:space="preserve">INPS »), </w:t>
      </w:r>
      <w:r w:rsidR="00957DE3" w:rsidRPr="00D911AF">
        <w:rPr>
          <w:lang w:val="fr-FR"/>
        </w:rPr>
        <w:t xml:space="preserve">celle comprise entre </w:t>
      </w:r>
      <w:r w:rsidR="00ED7E5F" w:rsidRPr="00D911AF">
        <w:rPr>
          <w:lang w:val="fr-FR"/>
        </w:rPr>
        <w:t>la date d</w:t>
      </w:r>
      <w:r w:rsidR="00957DE3" w:rsidRPr="00D911AF">
        <w:rPr>
          <w:lang w:val="fr-FR"/>
        </w:rPr>
        <w:t>e</w:t>
      </w:r>
      <w:r w:rsidR="00ED7E5F" w:rsidRPr="00D911AF">
        <w:rPr>
          <w:lang w:val="fr-FR"/>
        </w:rPr>
        <w:t xml:space="preserve"> départ à la retraite </w:t>
      </w:r>
      <w:r w:rsidR="00F85E1F" w:rsidRPr="00D911AF">
        <w:rPr>
          <w:lang w:val="fr-FR"/>
        </w:rPr>
        <w:t xml:space="preserve">précitée </w:t>
      </w:r>
      <w:r w:rsidR="00957DE3" w:rsidRPr="00D911AF">
        <w:rPr>
          <w:lang w:val="fr-FR"/>
        </w:rPr>
        <w:t>et la</w:t>
      </w:r>
      <w:r w:rsidRPr="00D911AF">
        <w:rPr>
          <w:lang w:val="fr-FR"/>
        </w:rPr>
        <w:t xml:space="preserve"> date de la communication de</w:t>
      </w:r>
      <w:r w:rsidR="00D5335D" w:rsidRPr="00D911AF">
        <w:rPr>
          <w:lang w:val="fr-FR"/>
        </w:rPr>
        <w:t>s requêtes</w:t>
      </w:r>
      <w:r w:rsidRPr="00D911AF">
        <w:rPr>
          <w:lang w:val="fr-FR"/>
        </w:rPr>
        <w:t xml:space="preserve"> au Gouvernement</w:t>
      </w:r>
      <w:r w:rsidR="00957DE3" w:rsidRPr="00D911AF">
        <w:rPr>
          <w:lang w:val="fr-FR"/>
        </w:rPr>
        <w:t xml:space="preserve">, </w:t>
      </w:r>
      <w:r w:rsidR="00D94135" w:rsidRPr="00D911AF">
        <w:rPr>
          <w:lang w:val="fr-FR"/>
        </w:rPr>
        <w:t>c</w:t>
      </w:r>
      <w:r w:rsidR="00D911AF" w:rsidRPr="00D911AF">
        <w:rPr>
          <w:lang w:val="fr-FR"/>
        </w:rPr>
        <w:t>’</w:t>
      </w:r>
      <w:r w:rsidR="00D94135" w:rsidRPr="00D911AF">
        <w:rPr>
          <w:lang w:val="fr-FR"/>
        </w:rPr>
        <w:t xml:space="preserve">est-à-dire le 29 août </w:t>
      </w:r>
      <w:r w:rsidR="00957DE3" w:rsidRPr="00D911AF">
        <w:rPr>
          <w:lang w:val="fr-FR"/>
        </w:rPr>
        <w:t>2012</w:t>
      </w:r>
      <w:r w:rsidR="00ED7E5F" w:rsidRPr="00D911AF">
        <w:rPr>
          <w:lang w:val="fr-FR"/>
        </w:rPr>
        <w:t xml:space="preserve"> (voir </w:t>
      </w:r>
      <w:r w:rsidR="00957DE3" w:rsidRPr="00D911AF">
        <w:rPr>
          <w:lang w:val="fr-FR"/>
        </w:rPr>
        <w:t>a</w:t>
      </w:r>
      <w:r w:rsidR="00C56BE2" w:rsidRPr="00D911AF">
        <w:rPr>
          <w:lang w:val="fr-FR"/>
        </w:rPr>
        <w:t>nnexes</w:t>
      </w:r>
      <w:r w:rsidR="00C3496F" w:rsidRPr="00D911AF">
        <w:rPr>
          <w:lang w:val="fr-FR"/>
        </w:rPr>
        <w:t xml:space="preserve"> </w:t>
      </w:r>
      <w:r w:rsidR="00D911AF" w:rsidRPr="00D911AF">
        <w:rPr>
          <w:lang w:val="fr-FR"/>
        </w:rPr>
        <w:t>II et </w:t>
      </w:r>
      <w:r w:rsidR="00ED7E5F" w:rsidRPr="00D911AF">
        <w:rPr>
          <w:lang w:val="fr-FR"/>
        </w:rPr>
        <w:t>III</w:t>
      </w:r>
      <w:r w:rsidR="00C56BE2" w:rsidRPr="00D911AF">
        <w:rPr>
          <w:lang w:val="fr-FR"/>
        </w:rPr>
        <w:t>)</w:t>
      </w:r>
      <w:r w:rsidRPr="00D911AF">
        <w:rPr>
          <w:lang w:val="fr-FR"/>
        </w:rPr>
        <w:t>.</w:t>
      </w:r>
      <w:proofErr w:type="gramEnd"/>
    </w:p>
    <w:p w:rsidR="00DB47FC" w:rsidRPr="00D911AF" w:rsidRDefault="0069054D" w:rsidP="00D911AF">
      <w:pPr>
        <w:pStyle w:val="ECHRPara"/>
        <w:rPr>
          <w:lang w:val="fr-FR"/>
        </w:rPr>
      </w:pPr>
      <w:r w:rsidRPr="00D911AF">
        <w:rPr>
          <w:lang w:val="fr-FR"/>
        </w:rPr>
        <w:lastRenderedPageBreak/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10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5A47E5" w:rsidRPr="00D911AF">
        <w:rPr>
          <w:lang w:val="fr-FR"/>
        </w:rPr>
        <w:t>En outre, d</w:t>
      </w:r>
      <w:r w:rsidR="00D911AF" w:rsidRPr="00D911AF">
        <w:rPr>
          <w:lang w:val="fr-FR"/>
        </w:rPr>
        <w:t>’</w:t>
      </w:r>
      <w:r w:rsidR="005A47E5" w:rsidRPr="00D911AF">
        <w:rPr>
          <w:lang w:val="fr-FR"/>
        </w:rPr>
        <w:t xml:space="preserve">après le Gouvernement, les sommes exposées par les requérants ne sont pas correctes dans la mesure où elles prennent </w:t>
      </w:r>
      <w:r w:rsidR="00DD5297" w:rsidRPr="00D911AF">
        <w:rPr>
          <w:lang w:val="fr-FR"/>
        </w:rPr>
        <w:t>non seulement</w:t>
      </w:r>
      <w:r w:rsidR="005A47E5" w:rsidRPr="00D911AF">
        <w:rPr>
          <w:lang w:val="fr-FR"/>
        </w:rPr>
        <w:t xml:space="preserve"> les cotisations versées par les requérants </w:t>
      </w:r>
      <w:r w:rsidR="00DD5297" w:rsidRPr="00D911AF">
        <w:rPr>
          <w:lang w:val="fr-FR"/>
        </w:rPr>
        <w:t>au</w:t>
      </w:r>
      <w:r w:rsidR="005A47E5" w:rsidRPr="00D911AF">
        <w:rPr>
          <w:lang w:val="fr-FR"/>
        </w:rPr>
        <w:t xml:space="preserve"> titre des périodes de travail en Suisse mais également celles versées en Italie à </w:t>
      </w:r>
      <w:r w:rsidR="00D75D62" w:rsidRPr="00D911AF">
        <w:rPr>
          <w:lang w:val="fr-FR"/>
        </w:rPr>
        <w:t xml:space="preserve">un </w:t>
      </w:r>
      <w:r w:rsidR="005A47E5" w:rsidRPr="00D911AF">
        <w:rPr>
          <w:lang w:val="fr-FR"/>
        </w:rPr>
        <w:t>autre titre.</w:t>
      </w:r>
    </w:p>
    <w:p w:rsidR="00144EF8" w:rsidRPr="00D911AF" w:rsidRDefault="00DB47FC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11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69054D" w:rsidRPr="00D911AF">
        <w:rPr>
          <w:lang w:val="fr-FR"/>
        </w:rPr>
        <w:t>Ensuite, l</w:t>
      </w:r>
      <w:r w:rsidR="0081493A" w:rsidRPr="00D911AF">
        <w:rPr>
          <w:lang w:val="fr-FR"/>
        </w:rPr>
        <w:t>e Gouvernement estime que l</w:t>
      </w:r>
      <w:r w:rsidR="00DA423C" w:rsidRPr="00D911AF">
        <w:rPr>
          <w:lang w:val="fr-FR"/>
        </w:rPr>
        <w:t>a</w:t>
      </w:r>
      <w:r w:rsidR="0081493A" w:rsidRPr="00D911AF">
        <w:rPr>
          <w:lang w:val="fr-FR"/>
        </w:rPr>
        <w:t xml:space="preserve"> violation </w:t>
      </w:r>
      <w:r w:rsidRPr="00D911AF">
        <w:rPr>
          <w:lang w:val="fr-FR"/>
        </w:rPr>
        <w:t>de</w:t>
      </w:r>
      <w:r w:rsidR="00F85E1F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article</w:t>
      </w:r>
      <w:r w:rsidR="00DA423C" w:rsidRPr="00D911AF">
        <w:rPr>
          <w:lang w:val="fr-FR"/>
        </w:rPr>
        <w:t xml:space="preserve"> 6 de la Convention et</w:t>
      </w:r>
      <w:r w:rsidR="0081493A" w:rsidRPr="00D911AF">
        <w:rPr>
          <w:lang w:val="fr-FR"/>
        </w:rPr>
        <w:t xml:space="preserve"> </w:t>
      </w:r>
      <w:r w:rsidR="00F85E1F" w:rsidRPr="00D911AF">
        <w:rPr>
          <w:lang w:val="fr-FR"/>
        </w:rPr>
        <w:t>de l</w:t>
      </w:r>
      <w:r w:rsidR="00D911AF" w:rsidRPr="00D911AF">
        <w:rPr>
          <w:lang w:val="fr-FR"/>
        </w:rPr>
        <w:t>’</w:t>
      </w:r>
      <w:r w:rsidR="00F85E1F" w:rsidRPr="00D911AF">
        <w:rPr>
          <w:lang w:val="fr-FR"/>
        </w:rPr>
        <w:t xml:space="preserve">article </w:t>
      </w:r>
      <w:r w:rsidR="0081493A" w:rsidRPr="00D911AF">
        <w:rPr>
          <w:lang w:val="fr-FR"/>
        </w:rPr>
        <w:t xml:space="preserve">1 </w:t>
      </w:r>
      <w:r w:rsidR="00F85E1F" w:rsidRPr="00D911AF">
        <w:rPr>
          <w:lang w:val="fr-FR"/>
        </w:rPr>
        <w:t xml:space="preserve">du </w:t>
      </w:r>
      <w:r w:rsidR="0081493A" w:rsidRPr="00D911AF">
        <w:rPr>
          <w:lang w:val="fr-FR"/>
        </w:rPr>
        <w:t>Protocole n</w:t>
      </w:r>
      <w:r w:rsidR="00144EF8" w:rsidRPr="00D911AF">
        <w:rPr>
          <w:vertAlign w:val="superscript"/>
          <w:lang w:val="fr-FR"/>
        </w:rPr>
        <w:t>o</w:t>
      </w:r>
      <w:r w:rsidR="0081493A" w:rsidRPr="00D911AF">
        <w:rPr>
          <w:lang w:val="fr-FR"/>
        </w:rPr>
        <w:t xml:space="preserve"> 1 </w:t>
      </w:r>
      <w:r w:rsidR="00F85E1F" w:rsidRPr="00D911AF">
        <w:rPr>
          <w:lang w:val="fr-FR"/>
        </w:rPr>
        <w:t xml:space="preserve">à la Convention </w:t>
      </w:r>
      <w:r w:rsidR="0081493A" w:rsidRPr="00D911AF">
        <w:rPr>
          <w:lang w:val="fr-FR"/>
        </w:rPr>
        <w:t xml:space="preserve">concerne uniquement la période </w:t>
      </w:r>
      <w:r w:rsidR="00F85E1F" w:rsidRPr="00D911AF">
        <w:rPr>
          <w:lang w:val="fr-FR"/>
        </w:rPr>
        <w:t>allant</w:t>
      </w:r>
      <w:r w:rsidR="0081493A" w:rsidRPr="00D911AF">
        <w:rPr>
          <w:lang w:val="fr-FR"/>
        </w:rPr>
        <w:t xml:space="preserve"> jusqu</w:t>
      </w:r>
      <w:r w:rsidR="00D911AF" w:rsidRPr="00D911AF">
        <w:rPr>
          <w:lang w:val="fr-FR"/>
        </w:rPr>
        <w:t>’</w:t>
      </w:r>
      <w:r w:rsidR="0081493A" w:rsidRPr="00D911AF">
        <w:rPr>
          <w:lang w:val="fr-FR"/>
        </w:rPr>
        <w:t>à l</w:t>
      </w:r>
      <w:r w:rsidR="00D911AF" w:rsidRPr="00D911AF">
        <w:rPr>
          <w:lang w:val="fr-FR"/>
        </w:rPr>
        <w:t>’</w:t>
      </w:r>
      <w:r w:rsidR="0081493A" w:rsidRPr="00D911AF">
        <w:rPr>
          <w:lang w:val="fr-FR"/>
        </w:rPr>
        <w:t>entrée en vigueur de la loi n</w:t>
      </w:r>
      <w:r w:rsidR="00144EF8" w:rsidRPr="00D911AF">
        <w:rPr>
          <w:vertAlign w:val="superscript"/>
          <w:lang w:val="fr-FR"/>
        </w:rPr>
        <w:t>o</w:t>
      </w:r>
      <w:r w:rsidR="00144EF8" w:rsidRPr="00D911AF">
        <w:rPr>
          <w:lang w:val="fr-FR"/>
        </w:rPr>
        <w:t xml:space="preserve"> </w:t>
      </w:r>
      <w:r w:rsidR="00C3496F" w:rsidRPr="00D911AF">
        <w:rPr>
          <w:lang w:val="fr-FR"/>
        </w:rPr>
        <w:t>296</w:t>
      </w:r>
      <w:r w:rsidR="0081493A" w:rsidRPr="00D911AF">
        <w:rPr>
          <w:lang w:val="fr-FR"/>
        </w:rPr>
        <w:t xml:space="preserve"> de 2006, </w:t>
      </w:r>
      <w:r w:rsidR="007951B2" w:rsidRPr="00D911AF">
        <w:rPr>
          <w:lang w:val="fr-FR"/>
        </w:rPr>
        <w:t>au motif</w:t>
      </w:r>
      <w:r w:rsidR="0081493A" w:rsidRPr="00D911AF">
        <w:rPr>
          <w:lang w:val="fr-FR"/>
        </w:rPr>
        <w:t xml:space="preserve"> qu</w:t>
      </w:r>
      <w:r w:rsidRPr="00D911AF">
        <w:rPr>
          <w:lang w:val="fr-FR"/>
        </w:rPr>
        <w:t>e les deux constats de violation</w:t>
      </w:r>
      <w:r w:rsidR="0081493A" w:rsidRPr="00D911AF">
        <w:rPr>
          <w:lang w:val="fr-FR"/>
        </w:rPr>
        <w:t xml:space="preserve"> se </w:t>
      </w:r>
      <w:r w:rsidR="007951B2" w:rsidRPr="00D911AF">
        <w:rPr>
          <w:lang w:val="fr-FR"/>
        </w:rPr>
        <w:t>fond</w:t>
      </w:r>
      <w:r w:rsidRPr="00D911AF">
        <w:rPr>
          <w:lang w:val="fr-FR"/>
        </w:rPr>
        <w:t>ent</w:t>
      </w:r>
      <w:r w:rsidR="0081493A" w:rsidRPr="00D911AF">
        <w:rPr>
          <w:lang w:val="fr-FR"/>
        </w:rPr>
        <w:t xml:space="preserve"> sur le caractère rétroactif de l</w:t>
      </w:r>
      <w:r w:rsidR="00D911AF" w:rsidRPr="00D911AF">
        <w:rPr>
          <w:lang w:val="fr-FR"/>
        </w:rPr>
        <w:t>’</w:t>
      </w:r>
      <w:r w:rsidR="0081493A" w:rsidRPr="00D911AF">
        <w:rPr>
          <w:lang w:val="fr-FR"/>
        </w:rPr>
        <w:t>intervention du législateur</w:t>
      </w:r>
      <w:r w:rsidR="00627989" w:rsidRPr="00D911AF">
        <w:rPr>
          <w:lang w:val="fr-FR"/>
        </w:rPr>
        <w:t xml:space="preserve"> national</w:t>
      </w:r>
      <w:r w:rsidR="0081493A" w:rsidRPr="00D911AF">
        <w:rPr>
          <w:lang w:val="fr-FR"/>
        </w:rPr>
        <w:t>.</w:t>
      </w:r>
    </w:p>
    <w:p w:rsidR="00FE2379" w:rsidRPr="00D911AF" w:rsidRDefault="00955602" w:rsidP="00D911AF">
      <w:pPr>
        <w:pStyle w:val="ECHRPara"/>
        <w:rPr>
          <w:snapToGrid w:val="0"/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12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69054D" w:rsidRPr="00D911AF">
        <w:rPr>
          <w:lang w:val="fr-FR"/>
        </w:rPr>
        <w:t>Enfin</w:t>
      </w:r>
      <w:r w:rsidR="00D94135" w:rsidRPr="00D911AF">
        <w:rPr>
          <w:lang w:val="fr-FR"/>
        </w:rPr>
        <w:t>, s</w:t>
      </w:r>
      <w:r w:rsidR="00627989" w:rsidRPr="00D911AF">
        <w:rPr>
          <w:lang w:val="fr-FR"/>
        </w:rPr>
        <w:t>elon</w:t>
      </w:r>
      <w:r w:rsidR="00812308" w:rsidRPr="00D911AF">
        <w:rPr>
          <w:lang w:val="fr-FR"/>
        </w:rPr>
        <w:t xml:space="preserve"> le Gouvernement</w:t>
      </w:r>
      <w:r w:rsidR="00627989" w:rsidRPr="00D911AF">
        <w:rPr>
          <w:lang w:val="fr-FR"/>
        </w:rPr>
        <w:t xml:space="preserve">, </w:t>
      </w:r>
      <w:r w:rsidR="00D53AC8" w:rsidRPr="00D911AF">
        <w:rPr>
          <w:lang w:val="fr-FR"/>
        </w:rPr>
        <w:t xml:space="preserve">la Cour ne devrait pas </w:t>
      </w:r>
      <w:r w:rsidR="006D292D" w:rsidRPr="00D911AF">
        <w:rPr>
          <w:lang w:val="fr-FR"/>
        </w:rPr>
        <w:t xml:space="preserve">retenir </w:t>
      </w:r>
      <w:r w:rsidR="00D53AC8" w:rsidRPr="00D911AF">
        <w:rPr>
          <w:lang w:val="fr-FR"/>
        </w:rPr>
        <w:t xml:space="preserve">la totalité de la différence entre </w:t>
      </w:r>
      <w:r w:rsidR="007951B2" w:rsidRPr="00D911AF">
        <w:rPr>
          <w:lang w:val="fr-FR"/>
        </w:rPr>
        <w:t>l</w:t>
      </w:r>
      <w:r w:rsidR="00FF782F" w:rsidRPr="00D911AF">
        <w:rPr>
          <w:lang w:val="fr-FR"/>
        </w:rPr>
        <w:t>es</w:t>
      </w:r>
      <w:r w:rsidR="007951B2" w:rsidRPr="00D911AF">
        <w:rPr>
          <w:lang w:val="fr-FR"/>
        </w:rPr>
        <w:t xml:space="preserve"> somme</w:t>
      </w:r>
      <w:r w:rsidR="00FF782F" w:rsidRPr="00D911AF">
        <w:rPr>
          <w:lang w:val="fr-FR"/>
        </w:rPr>
        <w:t>s</w:t>
      </w:r>
      <w:r w:rsidR="00D53AC8" w:rsidRPr="00D911AF">
        <w:rPr>
          <w:lang w:val="fr-FR"/>
        </w:rPr>
        <w:t xml:space="preserve"> que les requérants auraient </w:t>
      </w:r>
      <w:r w:rsidR="0019743F" w:rsidRPr="00D911AF">
        <w:rPr>
          <w:lang w:val="fr-FR"/>
        </w:rPr>
        <w:t>obtenu</w:t>
      </w:r>
      <w:r w:rsidR="007951B2" w:rsidRPr="00D911AF">
        <w:rPr>
          <w:lang w:val="fr-FR"/>
        </w:rPr>
        <w:t>e</w:t>
      </w:r>
      <w:r w:rsidR="00FF782F" w:rsidRPr="00D911AF">
        <w:rPr>
          <w:lang w:val="fr-FR"/>
        </w:rPr>
        <w:t>s</w:t>
      </w:r>
      <w:r w:rsidR="0019743F" w:rsidRPr="00D911AF">
        <w:rPr>
          <w:lang w:val="fr-FR"/>
        </w:rPr>
        <w:t xml:space="preserve"> </w:t>
      </w:r>
      <w:r w:rsidR="00D53AC8" w:rsidRPr="00D911AF">
        <w:rPr>
          <w:lang w:val="fr-FR"/>
        </w:rPr>
        <w:t>en l</w:t>
      </w:r>
      <w:r w:rsidR="00D911AF" w:rsidRPr="00D911AF">
        <w:rPr>
          <w:lang w:val="fr-FR"/>
        </w:rPr>
        <w:t>’</w:t>
      </w:r>
      <w:r w:rsidR="00D53AC8" w:rsidRPr="00D911AF">
        <w:rPr>
          <w:lang w:val="fr-FR"/>
        </w:rPr>
        <w:t xml:space="preserve">absence de </w:t>
      </w:r>
      <w:r w:rsidR="007951B2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7951B2" w:rsidRPr="00D911AF">
        <w:rPr>
          <w:lang w:val="fr-FR"/>
        </w:rPr>
        <w:t xml:space="preserve">adoption de </w:t>
      </w:r>
      <w:r w:rsidR="00D53AC8" w:rsidRPr="00D911AF">
        <w:rPr>
          <w:lang w:val="fr-FR"/>
        </w:rPr>
        <w:t xml:space="preserve">la loi </w:t>
      </w:r>
      <w:r w:rsidR="0019743F" w:rsidRPr="00D911AF">
        <w:rPr>
          <w:lang w:val="fr-FR"/>
        </w:rPr>
        <w:t>d</w:t>
      </w:r>
      <w:r w:rsidR="0000478A" w:rsidRPr="00D911AF">
        <w:rPr>
          <w:lang w:val="fr-FR"/>
        </w:rPr>
        <w:t>e 2006</w:t>
      </w:r>
      <w:r w:rsidR="006D292D" w:rsidRPr="00D911AF">
        <w:rPr>
          <w:lang w:val="fr-FR"/>
        </w:rPr>
        <w:t xml:space="preserve"> et celles perçues</w:t>
      </w:r>
      <w:r w:rsidR="008D54DD" w:rsidRPr="00D911AF">
        <w:rPr>
          <w:lang w:val="fr-FR"/>
        </w:rPr>
        <w:t xml:space="preserve"> par eux</w:t>
      </w:r>
      <w:r w:rsidR="0000478A" w:rsidRPr="00D911AF">
        <w:rPr>
          <w:lang w:val="fr-FR"/>
        </w:rPr>
        <w:t>. En effet,</w:t>
      </w:r>
      <w:r w:rsidR="00D53AC8" w:rsidRPr="00D911AF">
        <w:rPr>
          <w:lang w:val="fr-FR"/>
        </w:rPr>
        <w:t xml:space="preserve"> le préjudice subi par les requérants </w:t>
      </w:r>
      <w:r w:rsidR="0000478A" w:rsidRPr="00D911AF">
        <w:rPr>
          <w:lang w:val="fr-FR"/>
        </w:rPr>
        <w:t>relèverait</w:t>
      </w:r>
      <w:r w:rsidR="00D53AC8" w:rsidRPr="00D911AF">
        <w:rPr>
          <w:lang w:val="fr-FR"/>
        </w:rPr>
        <w:t xml:space="preserve"> uniquement </w:t>
      </w:r>
      <w:r w:rsidR="0000478A" w:rsidRPr="00D911AF">
        <w:rPr>
          <w:lang w:val="fr-FR"/>
        </w:rPr>
        <w:t xml:space="preserve">de la </w:t>
      </w:r>
      <w:r w:rsidR="006B6176" w:rsidRPr="00D911AF">
        <w:rPr>
          <w:lang w:val="fr-FR"/>
        </w:rPr>
        <w:t>« </w:t>
      </w:r>
      <w:r w:rsidR="0000478A" w:rsidRPr="00D911AF">
        <w:rPr>
          <w:lang w:val="fr-FR"/>
        </w:rPr>
        <w:t>perte de chance</w:t>
      </w:r>
      <w:r w:rsidR="006B6176" w:rsidRPr="00D911AF">
        <w:rPr>
          <w:lang w:val="fr-FR"/>
        </w:rPr>
        <w:t> » et serait</w:t>
      </w:r>
      <w:r w:rsidR="0000478A" w:rsidRPr="00D911AF">
        <w:rPr>
          <w:lang w:val="fr-FR"/>
        </w:rPr>
        <w:t xml:space="preserve"> à calculer sur la base des critères </w:t>
      </w:r>
      <w:r w:rsidR="007951B2" w:rsidRPr="00D911AF">
        <w:rPr>
          <w:lang w:val="fr-FR"/>
        </w:rPr>
        <w:t>adoptés par</w:t>
      </w:r>
      <w:r w:rsidR="0000478A" w:rsidRPr="00D911AF">
        <w:rPr>
          <w:lang w:val="fr-FR"/>
        </w:rPr>
        <w:t xml:space="preserve"> </w:t>
      </w:r>
      <w:r w:rsidR="00D53AC8" w:rsidRPr="00D911AF">
        <w:rPr>
          <w:lang w:val="fr-FR"/>
        </w:rPr>
        <w:t>la Cour</w:t>
      </w:r>
      <w:r w:rsidR="007951B2" w:rsidRPr="00D911AF">
        <w:rPr>
          <w:lang w:val="fr-FR"/>
        </w:rPr>
        <w:t xml:space="preserve"> </w:t>
      </w:r>
      <w:r w:rsidR="00D53AC8" w:rsidRPr="00D911AF">
        <w:rPr>
          <w:lang w:val="fr-FR"/>
        </w:rPr>
        <w:t xml:space="preserve">dans les affaires </w:t>
      </w:r>
      <w:proofErr w:type="spellStart"/>
      <w:r w:rsidR="00D53AC8" w:rsidRPr="00D911AF">
        <w:rPr>
          <w:i/>
          <w:lang w:val="fr-FR"/>
        </w:rPr>
        <w:t>Cataldo</w:t>
      </w:r>
      <w:proofErr w:type="spellEnd"/>
      <w:r w:rsidR="00D53AC8" w:rsidRPr="00D911AF">
        <w:rPr>
          <w:i/>
          <w:lang w:val="fr-FR"/>
        </w:rPr>
        <w:t xml:space="preserve"> et autres c. Italie</w:t>
      </w:r>
      <w:r w:rsidR="00D53AC8" w:rsidRPr="00D911AF">
        <w:rPr>
          <w:lang w:val="fr-FR"/>
        </w:rPr>
        <w:t xml:space="preserve"> (n</w:t>
      </w:r>
      <w:r w:rsidR="0000478A" w:rsidRPr="00D911AF">
        <w:rPr>
          <w:vertAlign w:val="superscript"/>
          <w:lang w:val="fr-FR"/>
        </w:rPr>
        <w:t>o</w:t>
      </w:r>
      <w:r w:rsidR="0000478A" w:rsidRPr="00D911AF">
        <w:rPr>
          <w:lang w:val="fr-FR"/>
        </w:rPr>
        <w:t xml:space="preserve"> 54425/08 et autres</w:t>
      </w:r>
      <w:r w:rsidR="00D53AC8" w:rsidRPr="00D911AF">
        <w:rPr>
          <w:snapToGrid w:val="0"/>
          <w:lang w:val="fr-FR"/>
        </w:rPr>
        <w:t xml:space="preserve">, § </w:t>
      </w:r>
      <w:r w:rsidR="0019743F" w:rsidRPr="00D911AF">
        <w:rPr>
          <w:snapToGrid w:val="0"/>
          <w:lang w:val="fr-FR"/>
        </w:rPr>
        <w:t>66</w:t>
      </w:r>
      <w:r w:rsidR="00D53AC8" w:rsidRPr="00D911AF">
        <w:rPr>
          <w:snapToGrid w:val="0"/>
          <w:lang w:val="fr-FR"/>
        </w:rPr>
        <w:t>, 24</w:t>
      </w:r>
      <w:r w:rsidR="006B6176" w:rsidRPr="00D911AF">
        <w:rPr>
          <w:snapToGrid w:val="0"/>
          <w:lang w:val="fr-FR"/>
        </w:rPr>
        <w:t> </w:t>
      </w:r>
      <w:r w:rsidR="00D53AC8" w:rsidRPr="00D911AF">
        <w:rPr>
          <w:lang w:val="fr-FR"/>
        </w:rPr>
        <w:t>juin</w:t>
      </w:r>
      <w:r w:rsidR="00D53AC8" w:rsidRPr="00D911AF">
        <w:rPr>
          <w:snapToGrid w:val="0"/>
          <w:lang w:val="fr-FR"/>
        </w:rPr>
        <w:t xml:space="preserve"> 2014) et </w:t>
      </w:r>
      <w:proofErr w:type="spellStart"/>
      <w:r w:rsidR="00D53AC8" w:rsidRPr="00D911AF">
        <w:rPr>
          <w:i/>
          <w:lang w:val="fr-FR"/>
        </w:rPr>
        <w:t>Biraghi</w:t>
      </w:r>
      <w:proofErr w:type="spellEnd"/>
      <w:r w:rsidR="00D53AC8" w:rsidRPr="00D911AF">
        <w:rPr>
          <w:i/>
          <w:lang w:val="fr-FR"/>
        </w:rPr>
        <w:t xml:space="preserve"> et autres c. Italie</w:t>
      </w:r>
      <w:r w:rsidR="00D53AC8" w:rsidRPr="00D911AF">
        <w:rPr>
          <w:lang w:val="fr-FR"/>
        </w:rPr>
        <w:t xml:space="preserve"> (n</w:t>
      </w:r>
      <w:r w:rsidR="0000478A" w:rsidRPr="00D911AF">
        <w:rPr>
          <w:vertAlign w:val="superscript"/>
          <w:lang w:val="fr-FR"/>
        </w:rPr>
        <w:t>o</w:t>
      </w:r>
      <w:r w:rsidR="0000478A" w:rsidRPr="00D911AF">
        <w:rPr>
          <w:lang w:val="fr-FR"/>
        </w:rPr>
        <w:t xml:space="preserve"> 3429/09 et autres</w:t>
      </w:r>
      <w:r w:rsidR="00D53AC8" w:rsidRPr="00D911AF">
        <w:rPr>
          <w:snapToGrid w:val="0"/>
          <w:lang w:val="fr-FR"/>
        </w:rPr>
        <w:t xml:space="preserve">, § </w:t>
      </w:r>
      <w:r w:rsidR="0019743F" w:rsidRPr="00D911AF">
        <w:rPr>
          <w:snapToGrid w:val="0"/>
          <w:lang w:val="fr-FR"/>
        </w:rPr>
        <w:t>52</w:t>
      </w:r>
      <w:r w:rsidR="00D53AC8" w:rsidRPr="00D911AF">
        <w:rPr>
          <w:snapToGrid w:val="0"/>
          <w:lang w:val="fr-FR"/>
        </w:rPr>
        <w:t>, 24</w:t>
      </w:r>
      <w:r w:rsidR="00273C4A" w:rsidRPr="00D911AF">
        <w:rPr>
          <w:snapToGrid w:val="0"/>
          <w:lang w:val="fr-FR"/>
        </w:rPr>
        <w:t> </w:t>
      </w:r>
      <w:r w:rsidR="00D53AC8" w:rsidRPr="00D911AF">
        <w:rPr>
          <w:lang w:val="fr-FR"/>
        </w:rPr>
        <w:t>juin</w:t>
      </w:r>
      <w:r w:rsidR="00D53AC8" w:rsidRPr="00D911AF">
        <w:rPr>
          <w:snapToGrid w:val="0"/>
          <w:lang w:val="fr-FR"/>
        </w:rPr>
        <w:t xml:space="preserve"> 2014</w:t>
      </w:r>
      <w:r w:rsidR="0069301E" w:rsidRPr="00D911AF">
        <w:rPr>
          <w:snapToGrid w:val="0"/>
          <w:lang w:val="fr-FR"/>
        </w:rPr>
        <w:t>)</w:t>
      </w:r>
      <w:r w:rsidR="00D53AC8" w:rsidRPr="00D911AF">
        <w:rPr>
          <w:snapToGrid w:val="0"/>
          <w:lang w:val="fr-FR"/>
        </w:rPr>
        <w:t>.</w:t>
      </w:r>
    </w:p>
    <w:p w:rsidR="00144EF8" w:rsidRPr="00D911AF" w:rsidRDefault="00F97626" w:rsidP="00D911AF">
      <w:pPr>
        <w:pStyle w:val="ECHRHeading3"/>
        <w:rPr>
          <w:lang w:val="fr-FR"/>
        </w:rPr>
      </w:pPr>
      <w:r w:rsidRPr="00D911AF">
        <w:rPr>
          <w:lang w:val="fr-FR"/>
        </w:rPr>
        <w:t>2.  </w:t>
      </w:r>
      <w:r w:rsidR="00D53AC8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D53AC8" w:rsidRPr="00D911AF">
        <w:rPr>
          <w:lang w:val="fr-FR"/>
        </w:rPr>
        <w:t>appréciation de la Cour</w:t>
      </w:r>
    </w:p>
    <w:p w:rsidR="00D537F5" w:rsidRPr="00D911AF" w:rsidRDefault="006824B8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13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D537F5" w:rsidRPr="00D911AF">
        <w:rPr>
          <w:lang w:val="fr-FR"/>
        </w:rPr>
        <w:t>La Cour rappelle qu</w:t>
      </w:r>
      <w:r w:rsidR="00B653A5" w:rsidRPr="00D911AF">
        <w:rPr>
          <w:lang w:val="fr-FR"/>
        </w:rPr>
        <w:t>e, dans l</w:t>
      </w:r>
      <w:r w:rsidR="00D911AF" w:rsidRPr="00D911AF">
        <w:rPr>
          <w:lang w:val="fr-FR"/>
        </w:rPr>
        <w:t>’</w:t>
      </w:r>
      <w:r w:rsidR="00B653A5" w:rsidRPr="00D911AF">
        <w:rPr>
          <w:lang w:val="fr-FR"/>
        </w:rPr>
        <w:t>arrêt au principal, elle a constaté</w:t>
      </w:r>
      <w:r w:rsidR="00D537F5" w:rsidRPr="00D911AF">
        <w:rPr>
          <w:lang w:val="fr-FR"/>
        </w:rPr>
        <w:t xml:space="preserve"> une double violation. En premier lieu,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intervention législative litigieuse, qui réglait définitivement, de manière rétroactive, le fond du litige opposant les requérants à l</w:t>
      </w:r>
      <w:r w:rsidR="00D911AF" w:rsidRPr="00D911AF">
        <w:rPr>
          <w:lang w:val="fr-FR"/>
        </w:rPr>
        <w:t>’</w:t>
      </w:r>
      <w:r w:rsidR="00A9590D" w:rsidRPr="00D911AF">
        <w:rPr>
          <w:lang w:val="fr-FR"/>
        </w:rPr>
        <w:t>État</w:t>
      </w:r>
      <w:r w:rsidR="00D537F5" w:rsidRPr="00D911AF">
        <w:rPr>
          <w:lang w:val="fr-FR"/>
        </w:rPr>
        <w:t xml:space="preserve"> devant les juridictions internes, n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était pas justifiée par d</w:t>
      </w:r>
      <w:r w:rsidR="00CE6E01" w:rsidRPr="00D911AF">
        <w:rPr>
          <w:lang w:val="fr-FR"/>
        </w:rPr>
        <w:t xml:space="preserve">es motifs </w:t>
      </w:r>
      <w:r w:rsidR="00D537F5" w:rsidRPr="00D911AF">
        <w:rPr>
          <w:lang w:val="fr-FR"/>
        </w:rPr>
        <w:t>impérieux d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intérêt général</w:t>
      </w:r>
      <w:r w:rsidR="00CE6E01" w:rsidRPr="00D911AF">
        <w:rPr>
          <w:lang w:val="fr-FR"/>
        </w:rPr>
        <w:t>,</w:t>
      </w:r>
      <w:r w:rsidR="00D537F5" w:rsidRPr="00D911AF">
        <w:rPr>
          <w:lang w:val="fr-FR"/>
        </w:rPr>
        <w:t xml:space="preserve"> et il y avait donc violation de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article</w:t>
      </w:r>
      <w:r w:rsidR="00D911AF" w:rsidRPr="00D911AF">
        <w:rPr>
          <w:lang w:val="fr-FR"/>
        </w:rPr>
        <w:t> </w:t>
      </w:r>
      <w:r w:rsidR="00D537F5" w:rsidRPr="00D911AF">
        <w:rPr>
          <w:lang w:val="fr-FR"/>
        </w:rPr>
        <w:t>6</w:t>
      </w:r>
      <w:r w:rsidR="00D911AF" w:rsidRPr="00D911AF">
        <w:rPr>
          <w:lang w:val="fr-FR"/>
        </w:rPr>
        <w:t xml:space="preserve"> </w:t>
      </w:r>
      <w:r w:rsidR="00D537F5" w:rsidRPr="00D911AF">
        <w:rPr>
          <w:lang w:val="fr-FR"/>
        </w:rPr>
        <w:t>§</w:t>
      </w:r>
      <w:r w:rsidR="00EC044E" w:rsidRPr="00D911AF">
        <w:rPr>
          <w:lang w:val="fr-FR"/>
        </w:rPr>
        <w:t> </w:t>
      </w:r>
      <w:r w:rsidR="00D537F5" w:rsidRPr="00D911AF">
        <w:rPr>
          <w:lang w:val="fr-FR"/>
        </w:rPr>
        <w:t xml:space="preserve">1 de la Convention (paragraphes </w:t>
      </w:r>
      <w:r w:rsidR="00A9590D" w:rsidRPr="00D911AF">
        <w:rPr>
          <w:lang w:val="fr-FR"/>
        </w:rPr>
        <w:t>38-44</w:t>
      </w:r>
      <w:r w:rsidRPr="00D911AF">
        <w:rPr>
          <w:lang w:val="fr-FR"/>
        </w:rPr>
        <w:t xml:space="preserve">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arrêt au principal).  </w:t>
      </w:r>
      <w:r w:rsidR="008377D6" w:rsidRPr="00D911AF">
        <w:rPr>
          <w:lang w:val="fr-FR"/>
        </w:rPr>
        <w:t xml:space="preserve">En </w:t>
      </w:r>
      <w:r w:rsidR="00B653A5" w:rsidRPr="00D911AF">
        <w:rPr>
          <w:lang w:val="fr-FR"/>
        </w:rPr>
        <w:t xml:space="preserve">second lieu, </w:t>
      </w:r>
      <w:r w:rsidR="008377D6" w:rsidRPr="00D911AF">
        <w:rPr>
          <w:lang w:val="fr-FR"/>
        </w:rPr>
        <w:t>avant l</w:t>
      </w:r>
      <w:r w:rsidR="00D911AF" w:rsidRPr="00D911AF">
        <w:rPr>
          <w:lang w:val="fr-FR"/>
        </w:rPr>
        <w:t>’</w:t>
      </w:r>
      <w:r w:rsidR="008377D6" w:rsidRPr="00D911AF">
        <w:rPr>
          <w:lang w:val="fr-FR"/>
        </w:rPr>
        <w:t xml:space="preserve">intervention de la loi de finances pour 2007, </w:t>
      </w:r>
      <w:r w:rsidR="00B653A5" w:rsidRPr="00D911AF">
        <w:rPr>
          <w:lang w:val="fr-FR"/>
        </w:rPr>
        <w:t xml:space="preserve">les requérants étaient titulaires </w:t>
      </w:r>
      <w:r w:rsidR="008377D6" w:rsidRPr="00D911AF">
        <w:rPr>
          <w:lang w:val="fr-FR"/>
        </w:rPr>
        <w:t>d</w:t>
      </w:r>
      <w:r w:rsidR="00D911AF" w:rsidRPr="00D911AF">
        <w:rPr>
          <w:lang w:val="fr-FR"/>
        </w:rPr>
        <w:t>’</w:t>
      </w:r>
      <w:r w:rsidR="008377D6" w:rsidRPr="00D911AF">
        <w:rPr>
          <w:lang w:val="fr-FR"/>
        </w:rPr>
        <w:t>un intérêt patrimonial qui constituait, sinon une créance à l</w:t>
      </w:r>
      <w:r w:rsidR="00D911AF" w:rsidRPr="00D911AF">
        <w:rPr>
          <w:lang w:val="fr-FR"/>
        </w:rPr>
        <w:t>’</w:t>
      </w:r>
      <w:r w:rsidR="008377D6" w:rsidRPr="00D911AF">
        <w:rPr>
          <w:lang w:val="fr-FR"/>
        </w:rPr>
        <w:t>égard de la partie</w:t>
      </w:r>
      <w:r w:rsidR="00D911AF" w:rsidRPr="00D911AF">
        <w:rPr>
          <w:lang w:val="fr-FR"/>
        </w:rPr>
        <w:t xml:space="preserve"> adverse, du moins une « </w:t>
      </w:r>
      <w:r w:rsidR="008377D6" w:rsidRPr="00D911AF">
        <w:rPr>
          <w:lang w:val="fr-FR"/>
        </w:rPr>
        <w:t>espérance légitime</w:t>
      </w:r>
      <w:r w:rsidR="00EC044E" w:rsidRPr="00D911AF">
        <w:rPr>
          <w:lang w:val="fr-FR"/>
        </w:rPr>
        <w:t> </w:t>
      </w:r>
      <w:r w:rsidR="008377D6" w:rsidRPr="00D911AF">
        <w:rPr>
          <w:lang w:val="fr-FR"/>
        </w:rPr>
        <w:t>» de pouvoir obtenir le paiement des</w:t>
      </w:r>
      <w:r w:rsidR="00D911AF" w:rsidRPr="00D911AF">
        <w:rPr>
          <w:lang w:val="fr-FR"/>
        </w:rPr>
        <w:t xml:space="preserve"> sommes litigieuses (paragraphe </w:t>
      </w:r>
      <w:r w:rsidR="008377D6" w:rsidRPr="00D911AF">
        <w:rPr>
          <w:lang w:val="fr-FR"/>
        </w:rPr>
        <w:t>65 de l</w:t>
      </w:r>
      <w:r w:rsidR="00D911AF" w:rsidRPr="00D911AF">
        <w:rPr>
          <w:lang w:val="fr-FR"/>
        </w:rPr>
        <w:t>’</w:t>
      </w:r>
      <w:r w:rsidR="008377D6" w:rsidRPr="00D911AF">
        <w:rPr>
          <w:lang w:val="fr-FR"/>
        </w:rPr>
        <w:t xml:space="preserve">arrêt au principal). </w:t>
      </w:r>
      <w:r w:rsidR="00EC044E" w:rsidRPr="00D911AF">
        <w:rPr>
          <w:lang w:val="fr-FR"/>
        </w:rPr>
        <w:t>Dans cet arrêt, l</w:t>
      </w:r>
      <w:r w:rsidR="00D537F5" w:rsidRPr="00D911AF">
        <w:rPr>
          <w:lang w:val="fr-FR"/>
        </w:rPr>
        <w:t xml:space="preserve">a Cour a </w:t>
      </w:r>
      <w:r w:rsidR="00BB770C" w:rsidRPr="00D911AF">
        <w:rPr>
          <w:lang w:val="fr-FR"/>
        </w:rPr>
        <w:t>ensuite jugé que</w:t>
      </w:r>
      <w:r w:rsidR="00D537F5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 xml:space="preserve">adoption de </w:t>
      </w:r>
      <w:r w:rsidR="009D7A43" w:rsidRPr="00D911AF">
        <w:rPr>
          <w:lang w:val="fr-FR"/>
        </w:rPr>
        <w:t xml:space="preserve">la loi </w:t>
      </w:r>
      <w:r w:rsidR="007E2107" w:rsidRPr="00D911AF">
        <w:rPr>
          <w:lang w:val="fr-FR"/>
        </w:rPr>
        <w:t>n</w:t>
      </w:r>
      <w:r w:rsidR="00144EF8" w:rsidRPr="00D911AF">
        <w:rPr>
          <w:vertAlign w:val="superscript"/>
          <w:lang w:val="fr-FR"/>
        </w:rPr>
        <w:t>o</w:t>
      </w:r>
      <w:r w:rsidR="007E2107" w:rsidRPr="00D911AF">
        <w:rPr>
          <w:lang w:val="fr-FR"/>
        </w:rPr>
        <w:t xml:space="preserve"> </w:t>
      </w:r>
      <w:r w:rsidR="009D7A43" w:rsidRPr="00D911AF">
        <w:rPr>
          <w:lang w:val="fr-FR"/>
        </w:rPr>
        <w:t xml:space="preserve">296 de 2006 </w:t>
      </w:r>
      <w:r w:rsidR="00D537F5" w:rsidRPr="00D911AF">
        <w:rPr>
          <w:lang w:val="fr-FR"/>
        </w:rPr>
        <w:t>a</w:t>
      </w:r>
      <w:r w:rsidR="004E62C1" w:rsidRPr="00D911AF">
        <w:rPr>
          <w:lang w:val="fr-FR"/>
        </w:rPr>
        <w:t>vait</w:t>
      </w:r>
      <w:r w:rsidR="00D537F5" w:rsidRPr="00D911AF">
        <w:rPr>
          <w:lang w:val="fr-FR"/>
        </w:rPr>
        <w:t xml:space="preserve"> fait peser </w:t>
      </w:r>
      <w:r w:rsidR="00B653A5" w:rsidRPr="00D911AF">
        <w:rPr>
          <w:lang w:val="fr-FR"/>
        </w:rPr>
        <w:t xml:space="preserve">sur les requérants </w:t>
      </w:r>
      <w:r w:rsidR="00D911AF" w:rsidRPr="00D911AF">
        <w:rPr>
          <w:lang w:val="fr-FR"/>
        </w:rPr>
        <w:t>une « charge exorbitante </w:t>
      </w:r>
      <w:r w:rsidR="00D537F5" w:rsidRPr="00D911AF">
        <w:rPr>
          <w:lang w:val="fr-FR"/>
        </w:rPr>
        <w:t xml:space="preserve">» et </w:t>
      </w:r>
      <w:r w:rsidR="004E62C1" w:rsidRPr="00D911AF">
        <w:rPr>
          <w:lang w:val="fr-FR"/>
        </w:rPr>
        <w:t xml:space="preserve">que </w:t>
      </w:r>
      <w:r w:rsidR="00D537F5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atteinte portée à leurs biens a</w:t>
      </w:r>
      <w:r w:rsidR="004E62C1" w:rsidRPr="00D911AF">
        <w:rPr>
          <w:lang w:val="fr-FR"/>
        </w:rPr>
        <w:t>vait</w:t>
      </w:r>
      <w:r w:rsidR="00D537F5" w:rsidRPr="00D911AF">
        <w:rPr>
          <w:lang w:val="fr-FR"/>
        </w:rPr>
        <w:t xml:space="preserve"> revêtu un caractère disproportionné, rompant le juste équilibre entre les exigences de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 xml:space="preserve">intérêt général et la sauvegarde des droits fondamentaux des individus (paragraphe </w:t>
      </w:r>
      <w:r w:rsidR="001626C5" w:rsidRPr="00D911AF">
        <w:rPr>
          <w:lang w:val="fr-FR"/>
        </w:rPr>
        <w:t>66</w:t>
      </w:r>
      <w:r w:rsidR="00D537F5" w:rsidRPr="00D911AF">
        <w:rPr>
          <w:lang w:val="fr-FR"/>
        </w:rPr>
        <w:t xml:space="preserve"> de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arrêt au principal).</w:t>
      </w:r>
    </w:p>
    <w:p w:rsidR="00D537F5" w:rsidRPr="00D911AF" w:rsidRDefault="006824B8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14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D537F5" w:rsidRPr="00D911AF">
        <w:rPr>
          <w:lang w:val="fr-FR"/>
        </w:rPr>
        <w:t xml:space="preserve">La Cour </w:t>
      </w:r>
      <w:r w:rsidR="004E62C1" w:rsidRPr="00D911AF">
        <w:rPr>
          <w:lang w:val="fr-FR"/>
        </w:rPr>
        <w:t>rappelle aussi</w:t>
      </w:r>
      <w:r w:rsidR="00D537F5" w:rsidRPr="00D911AF">
        <w:rPr>
          <w:lang w:val="fr-FR"/>
        </w:rPr>
        <w:t xml:space="preserve"> que le principe sous-tendant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octroi d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une satisfaction équitable est bien établi : il faut, autant que faire se peut, placer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intéressé dans une situation équivalente à celle où il se trouverait si la violation de la</w:t>
      </w:r>
      <w:r w:rsidR="00156FB2" w:rsidRPr="00D911AF">
        <w:rPr>
          <w:lang w:val="fr-FR"/>
        </w:rPr>
        <w:t xml:space="preserve"> Convention n</w:t>
      </w:r>
      <w:r w:rsidR="00D911AF" w:rsidRPr="00D911AF">
        <w:rPr>
          <w:lang w:val="fr-FR"/>
        </w:rPr>
        <w:t>’</w:t>
      </w:r>
      <w:r w:rsidR="00156FB2" w:rsidRPr="00D911AF">
        <w:rPr>
          <w:lang w:val="fr-FR"/>
        </w:rPr>
        <w:t xml:space="preserve">avait pas eu lieu. </w:t>
      </w:r>
      <w:r w:rsidR="00D537F5" w:rsidRPr="00D911AF">
        <w:rPr>
          <w:lang w:val="fr-FR"/>
        </w:rPr>
        <w:t xml:space="preserve">Par ailleurs, la condition </w:t>
      </w:r>
      <w:r w:rsidR="00D537F5" w:rsidRPr="00D911AF">
        <w:rPr>
          <w:i/>
          <w:lang w:val="fr-FR"/>
        </w:rPr>
        <w:t>sine qua non</w:t>
      </w:r>
      <w:r w:rsidR="00D537F5" w:rsidRPr="00D911AF">
        <w:rPr>
          <w:lang w:val="fr-FR"/>
        </w:rPr>
        <w:t xml:space="preserve"> à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octroi d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une réparation d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un dommage matériel est l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existence d</w:t>
      </w:r>
      <w:r w:rsidR="00D911AF" w:rsidRPr="00D911AF">
        <w:rPr>
          <w:lang w:val="fr-FR"/>
        </w:rPr>
        <w:t>’</w:t>
      </w:r>
      <w:r w:rsidR="00D537F5" w:rsidRPr="00D911AF">
        <w:rPr>
          <w:lang w:val="fr-FR"/>
        </w:rPr>
        <w:t>un lien de causalité entre le préjudice allégué et la violation constatée (</w:t>
      </w:r>
      <w:proofErr w:type="spellStart"/>
      <w:r w:rsidR="00156FB2" w:rsidRPr="00D911AF">
        <w:rPr>
          <w:i/>
          <w:lang w:val="fr-FR"/>
        </w:rPr>
        <w:t>Andrejeva</w:t>
      </w:r>
      <w:proofErr w:type="spellEnd"/>
      <w:r w:rsidR="00156FB2" w:rsidRPr="00D911AF">
        <w:rPr>
          <w:i/>
          <w:lang w:val="fr-FR"/>
        </w:rPr>
        <w:t xml:space="preserve"> c. Lettonie</w:t>
      </w:r>
      <w:r w:rsidR="00156FB2" w:rsidRPr="00D911AF">
        <w:rPr>
          <w:lang w:val="fr-FR"/>
        </w:rPr>
        <w:t xml:space="preserve"> [GC], n</w:t>
      </w:r>
      <w:r w:rsidR="00156FB2" w:rsidRPr="00D911AF">
        <w:rPr>
          <w:vertAlign w:val="superscript"/>
          <w:lang w:val="fr-FR"/>
        </w:rPr>
        <w:t>o</w:t>
      </w:r>
      <w:r w:rsidR="00156FB2" w:rsidRPr="00D911AF">
        <w:rPr>
          <w:lang w:val="fr-FR"/>
        </w:rPr>
        <w:t xml:space="preserve"> 55707/00, § 111, CEDH 2009</w:t>
      </w:r>
      <w:r w:rsidR="004E62C1" w:rsidRPr="00D911AF">
        <w:rPr>
          <w:lang w:val="fr-FR"/>
        </w:rPr>
        <w:t>,</w:t>
      </w:r>
      <w:r w:rsidR="00F275CA" w:rsidRPr="00D911AF">
        <w:rPr>
          <w:lang w:val="fr-FR"/>
        </w:rPr>
        <w:t xml:space="preserve"> et</w:t>
      </w:r>
      <w:r w:rsidR="00156FB2" w:rsidRPr="00D911AF">
        <w:rPr>
          <w:lang w:val="fr-FR"/>
        </w:rPr>
        <w:t xml:space="preserve"> </w:t>
      </w:r>
      <w:proofErr w:type="spellStart"/>
      <w:r w:rsidR="00D911AF" w:rsidRPr="00D911AF">
        <w:rPr>
          <w:i/>
          <w:lang w:val="fr-FR"/>
        </w:rPr>
        <w:t>Agrati</w:t>
      </w:r>
      <w:proofErr w:type="spellEnd"/>
      <w:r w:rsidR="00D911AF" w:rsidRPr="00D911AF">
        <w:rPr>
          <w:i/>
          <w:lang w:val="fr-FR"/>
        </w:rPr>
        <w:t xml:space="preserve"> et </w:t>
      </w:r>
      <w:r w:rsidR="00156FB2" w:rsidRPr="00D911AF">
        <w:rPr>
          <w:i/>
          <w:lang w:val="fr-FR"/>
        </w:rPr>
        <w:t xml:space="preserve">autres c. Italie </w:t>
      </w:r>
      <w:r w:rsidR="00156FB2" w:rsidRPr="00D911AF">
        <w:rPr>
          <w:lang w:val="fr-FR"/>
        </w:rPr>
        <w:t>(satisfaction équitable), n</w:t>
      </w:r>
      <w:r w:rsidR="00156FB2" w:rsidRPr="00D911AF">
        <w:rPr>
          <w:vertAlign w:val="superscript"/>
          <w:lang w:val="fr-FR"/>
        </w:rPr>
        <w:t>os</w:t>
      </w:r>
      <w:r w:rsidR="00156FB2" w:rsidRPr="00D911AF">
        <w:rPr>
          <w:lang w:val="fr-FR"/>
        </w:rPr>
        <w:t xml:space="preserve"> 43549/08, 6107/09 et 5087/09</w:t>
      </w:r>
      <w:r w:rsidR="00156FB2" w:rsidRPr="00D911AF">
        <w:rPr>
          <w:snapToGrid w:val="0"/>
          <w:lang w:val="fr-FR"/>
        </w:rPr>
        <w:t>, §</w:t>
      </w:r>
      <w:r w:rsidR="004E62C1" w:rsidRPr="00D911AF">
        <w:rPr>
          <w:snapToGrid w:val="0"/>
          <w:lang w:val="fr-FR"/>
        </w:rPr>
        <w:t> </w:t>
      </w:r>
      <w:r w:rsidR="00156FB2" w:rsidRPr="00D911AF">
        <w:rPr>
          <w:snapToGrid w:val="0"/>
          <w:lang w:val="fr-FR"/>
        </w:rPr>
        <w:t xml:space="preserve">11, 8 </w:t>
      </w:r>
      <w:r w:rsidR="00156FB2" w:rsidRPr="00D911AF">
        <w:rPr>
          <w:lang w:val="fr-FR"/>
        </w:rPr>
        <w:t>novembre</w:t>
      </w:r>
      <w:r w:rsidR="00156FB2" w:rsidRPr="00D911AF">
        <w:rPr>
          <w:snapToGrid w:val="0"/>
          <w:lang w:val="fr-FR"/>
        </w:rPr>
        <w:t xml:space="preserve"> 2012</w:t>
      </w:r>
      <w:r w:rsidR="00D537F5" w:rsidRPr="00D911AF">
        <w:rPr>
          <w:lang w:val="fr-FR"/>
        </w:rPr>
        <w:t>).</w:t>
      </w:r>
    </w:p>
    <w:p w:rsidR="004F63CF" w:rsidRPr="00D911AF" w:rsidRDefault="004F63CF" w:rsidP="00D911AF">
      <w:pPr>
        <w:pStyle w:val="ECHRPara"/>
        <w:rPr>
          <w:lang w:val="fr-FR"/>
        </w:rPr>
      </w:pPr>
      <w:r w:rsidRPr="00D911AF">
        <w:rPr>
          <w:lang w:val="fr-FR"/>
        </w:rPr>
        <w:lastRenderedPageBreak/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15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La Cour tient à souligner qu</w:t>
      </w:r>
      <w:r w:rsidR="00E31B09" w:rsidRPr="00D911AF">
        <w:rPr>
          <w:lang w:val="fr-FR"/>
        </w:rPr>
        <w:t>e, dans l</w:t>
      </w:r>
      <w:r w:rsidR="001D7338" w:rsidRPr="00D911AF">
        <w:rPr>
          <w:lang w:val="fr-FR"/>
        </w:rPr>
        <w:t>a</w:t>
      </w:r>
      <w:r w:rsidR="00E31B09" w:rsidRPr="00D911AF">
        <w:rPr>
          <w:lang w:val="fr-FR"/>
        </w:rPr>
        <w:t xml:space="preserve"> présente</w:t>
      </w:r>
      <w:r w:rsidR="001D7338" w:rsidRPr="00D911AF">
        <w:rPr>
          <w:lang w:val="fr-FR"/>
        </w:rPr>
        <w:t xml:space="preserve"> affaire</w:t>
      </w:r>
      <w:r w:rsidR="00B653A5" w:rsidRPr="00D911AF">
        <w:rPr>
          <w:lang w:val="fr-FR"/>
        </w:rPr>
        <w:t>, avant l</w:t>
      </w:r>
      <w:r w:rsidR="00D911AF" w:rsidRPr="00D911AF">
        <w:rPr>
          <w:lang w:val="fr-FR"/>
        </w:rPr>
        <w:t>’</w:t>
      </w:r>
      <w:r w:rsidR="00B653A5" w:rsidRPr="00D911AF">
        <w:rPr>
          <w:lang w:val="fr-FR"/>
        </w:rPr>
        <w:t xml:space="preserve">adoption de la loi litigieuse, </w:t>
      </w:r>
      <w:r w:rsidRPr="00D911AF">
        <w:rPr>
          <w:lang w:val="fr-FR"/>
        </w:rPr>
        <w:t>la jurisprudence de la Cour de cassation était</w:t>
      </w:r>
      <w:r w:rsidR="001E16AD" w:rsidRPr="00D911AF">
        <w:rPr>
          <w:lang w:val="fr-FR"/>
        </w:rPr>
        <w:t xml:space="preserve"> </w:t>
      </w:r>
      <w:r w:rsidRPr="00D911AF">
        <w:rPr>
          <w:lang w:val="fr-FR"/>
        </w:rPr>
        <w:t>favorable à la position des requérants (</w:t>
      </w:r>
      <w:proofErr w:type="spellStart"/>
      <w:r w:rsidRPr="00D911AF">
        <w:rPr>
          <w:i/>
          <w:lang w:val="fr-FR"/>
        </w:rPr>
        <w:t>Stefanetti</w:t>
      </w:r>
      <w:proofErr w:type="spellEnd"/>
      <w:r w:rsidRPr="00D911AF">
        <w:rPr>
          <w:i/>
          <w:lang w:val="fr-FR"/>
        </w:rPr>
        <w:t xml:space="preserve"> et autres c. Italie</w:t>
      </w:r>
      <w:r w:rsidRPr="00D911AF">
        <w:rPr>
          <w:lang w:val="fr-FR"/>
        </w:rPr>
        <w:t>, préc</w:t>
      </w:r>
      <w:r w:rsidR="001E16AD" w:rsidRPr="00D911AF">
        <w:rPr>
          <w:lang w:val="fr-FR"/>
        </w:rPr>
        <w:t>ité</w:t>
      </w:r>
      <w:r w:rsidRPr="00D911AF">
        <w:rPr>
          <w:lang w:val="fr-FR"/>
        </w:rPr>
        <w:t>, §</w:t>
      </w:r>
      <w:r w:rsidR="00D911AF" w:rsidRPr="00D911AF">
        <w:rPr>
          <w:lang w:val="fr-FR"/>
        </w:rPr>
        <w:t>§ </w:t>
      </w:r>
      <w:r w:rsidR="00677642" w:rsidRPr="00D911AF">
        <w:rPr>
          <w:lang w:val="fr-FR"/>
        </w:rPr>
        <w:t>17 et</w:t>
      </w:r>
      <w:r w:rsidR="00087C07" w:rsidRPr="00D911AF">
        <w:rPr>
          <w:lang w:val="fr-FR"/>
        </w:rPr>
        <w:t> </w:t>
      </w:r>
      <w:r w:rsidRPr="00D911AF">
        <w:rPr>
          <w:lang w:val="fr-FR"/>
        </w:rPr>
        <w:t>42). Ainsi, si aucune violation de la Convention n</w:t>
      </w:r>
      <w:r w:rsidR="00D911AF" w:rsidRPr="00D911AF">
        <w:rPr>
          <w:lang w:val="fr-FR"/>
        </w:rPr>
        <w:t>’</w:t>
      </w:r>
      <w:r w:rsidR="005A208D" w:rsidRPr="00D911AF">
        <w:rPr>
          <w:lang w:val="fr-FR"/>
        </w:rPr>
        <w:t>avait eu lieu</w:t>
      </w:r>
      <w:r w:rsidRPr="00D911AF">
        <w:rPr>
          <w:lang w:val="fr-FR"/>
        </w:rPr>
        <w:t>, la situation des requérants aurait vraisemblablement été différente</w:t>
      </w:r>
      <w:r w:rsidR="001E16AD" w:rsidRPr="00D911AF">
        <w:rPr>
          <w:lang w:val="fr-FR"/>
        </w:rPr>
        <w:t xml:space="preserve"> puisque ceux-ci</w:t>
      </w:r>
      <w:r w:rsidRPr="00D911AF">
        <w:rPr>
          <w:lang w:val="fr-FR"/>
        </w:rPr>
        <w:t xml:space="preserve"> auraient pu se voir reconnaître un montant</w:t>
      </w:r>
      <w:r w:rsidR="005A208D" w:rsidRPr="00D911AF">
        <w:rPr>
          <w:lang w:val="fr-FR"/>
        </w:rPr>
        <w:t xml:space="preserve"> </w:t>
      </w:r>
      <w:r w:rsidR="00CE20AA" w:rsidRPr="00D911AF">
        <w:rPr>
          <w:lang w:val="fr-FR"/>
        </w:rPr>
        <w:t xml:space="preserve">de pension </w:t>
      </w:r>
      <w:r w:rsidRPr="00D911AF">
        <w:rPr>
          <w:lang w:val="fr-FR"/>
        </w:rPr>
        <w:t>plus élevé. Partant, la Cour en déduit que la violation de la Convention constatée en l</w:t>
      </w:r>
      <w:r w:rsidR="00D911AF" w:rsidRPr="00D911AF">
        <w:rPr>
          <w:lang w:val="fr-FR"/>
        </w:rPr>
        <w:t>’</w:t>
      </w:r>
      <w:r w:rsidR="0017007A" w:rsidRPr="00D911AF">
        <w:rPr>
          <w:lang w:val="fr-FR"/>
        </w:rPr>
        <w:t>occurrence</w:t>
      </w:r>
      <w:r w:rsidRPr="00D911AF">
        <w:rPr>
          <w:lang w:val="fr-FR"/>
        </w:rPr>
        <w:t xml:space="preserve"> est susceptible d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avoir causé aux requérants un dommage matériel (</w:t>
      </w:r>
      <w:r w:rsidR="001E16AD" w:rsidRPr="00D911AF">
        <w:rPr>
          <w:lang w:val="fr-FR"/>
        </w:rPr>
        <w:t xml:space="preserve">voir, </w:t>
      </w:r>
      <w:r w:rsidRPr="00D911AF">
        <w:rPr>
          <w:i/>
          <w:lang w:val="fr-FR"/>
        </w:rPr>
        <w:t xml:space="preserve">mutatis mutandis, </w:t>
      </w:r>
      <w:proofErr w:type="spellStart"/>
      <w:r w:rsidRPr="00D911AF">
        <w:rPr>
          <w:i/>
          <w:lang w:val="fr-FR"/>
        </w:rPr>
        <w:t>Agrati</w:t>
      </w:r>
      <w:proofErr w:type="spellEnd"/>
      <w:r w:rsidRPr="00D911AF">
        <w:rPr>
          <w:i/>
          <w:lang w:val="fr-FR"/>
        </w:rPr>
        <w:t xml:space="preserve"> et autres</w:t>
      </w:r>
      <w:r w:rsidR="001E16AD" w:rsidRPr="00D911AF">
        <w:rPr>
          <w:lang w:val="fr-FR"/>
        </w:rPr>
        <w:t xml:space="preserve"> </w:t>
      </w:r>
      <w:r w:rsidR="001A2A23" w:rsidRPr="00D911AF">
        <w:rPr>
          <w:lang w:val="fr-FR"/>
        </w:rPr>
        <w:t xml:space="preserve">(satisfaction équitable), </w:t>
      </w:r>
      <w:r w:rsidR="001E16AD" w:rsidRPr="00D911AF">
        <w:rPr>
          <w:lang w:val="fr-FR"/>
        </w:rPr>
        <w:t xml:space="preserve">précité, </w:t>
      </w:r>
      <w:r w:rsidRPr="00D911AF">
        <w:rPr>
          <w:lang w:val="fr-FR"/>
        </w:rPr>
        <w:t>§ 13).</w:t>
      </w:r>
    </w:p>
    <w:p w:rsidR="00955602" w:rsidRPr="00D911AF" w:rsidRDefault="00955602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16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proofErr w:type="gramStart"/>
      <w:r w:rsidR="004F63CF" w:rsidRPr="00D911AF">
        <w:rPr>
          <w:lang w:val="fr-FR"/>
        </w:rPr>
        <w:t>Afin de calculer le préjudice subi</w:t>
      </w:r>
      <w:r w:rsidRPr="00D911AF">
        <w:rPr>
          <w:lang w:val="fr-FR"/>
        </w:rPr>
        <w:t xml:space="preserve">, </w:t>
      </w:r>
      <w:r w:rsidR="004F63CF" w:rsidRPr="00D911AF">
        <w:rPr>
          <w:lang w:val="fr-FR"/>
        </w:rPr>
        <w:t xml:space="preserve">la Cour doit examiner </w:t>
      </w:r>
      <w:r w:rsidRPr="00D911AF">
        <w:rPr>
          <w:lang w:val="fr-FR"/>
        </w:rPr>
        <w:t xml:space="preserve">les questions suivantes : a) </w:t>
      </w:r>
      <w:r w:rsidR="00B653A5" w:rsidRPr="00D911AF">
        <w:rPr>
          <w:lang w:val="fr-FR"/>
        </w:rPr>
        <w:t xml:space="preserve">la détermination de </w:t>
      </w:r>
      <w:r w:rsidRPr="00D911AF">
        <w:rPr>
          <w:lang w:val="fr-FR"/>
        </w:rPr>
        <w:t>la différence entre le</w:t>
      </w:r>
      <w:r w:rsidR="00B653A5" w:rsidRPr="00D911AF">
        <w:rPr>
          <w:lang w:val="fr-FR"/>
        </w:rPr>
        <w:t>s</w:t>
      </w:r>
      <w:r w:rsidRPr="00D911AF">
        <w:rPr>
          <w:lang w:val="fr-FR"/>
        </w:rPr>
        <w:t xml:space="preserve"> montant</w:t>
      </w:r>
      <w:r w:rsidR="00B653A5" w:rsidRPr="00D911AF">
        <w:rPr>
          <w:lang w:val="fr-FR"/>
        </w:rPr>
        <w:t>s</w:t>
      </w:r>
      <w:r w:rsidRPr="00D911AF">
        <w:rPr>
          <w:lang w:val="fr-FR"/>
        </w:rPr>
        <w:t xml:space="preserve"> qu</w:t>
      </w:r>
      <w:r w:rsidR="00D54645" w:rsidRPr="00D911AF">
        <w:rPr>
          <w:lang w:val="fr-FR"/>
        </w:rPr>
        <w:t>e les requérants</w:t>
      </w:r>
      <w:r w:rsidRPr="00D911AF">
        <w:rPr>
          <w:lang w:val="fr-FR"/>
        </w:rPr>
        <w:t xml:space="preserve"> auraient dû obtenir en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absence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intervention de la loi litigieuse et ceux effectivement perçu</w:t>
      </w:r>
      <w:r w:rsidR="00D54645" w:rsidRPr="00D911AF">
        <w:rPr>
          <w:lang w:val="fr-FR"/>
        </w:rPr>
        <w:t>s</w:t>
      </w:r>
      <w:r w:rsidRPr="00D911AF">
        <w:rPr>
          <w:lang w:val="fr-FR"/>
        </w:rPr>
        <w:t> </w:t>
      </w:r>
      <w:r w:rsidR="00B00BF1" w:rsidRPr="00D911AF">
        <w:rPr>
          <w:lang w:val="fr-FR"/>
        </w:rPr>
        <w:t xml:space="preserve">par eux </w:t>
      </w:r>
      <w:r w:rsidRPr="00D911AF">
        <w:rPr>
          <w:lang w:val="fr-FR"/>
        </w:rPr>
        <w:t xml:space="preserve">; b) </w:t>
      </w:r>
      <w:r w:rsidR="00B653A5" w:rsidRPr="00D911AF">
        <w:rPr>
          <w:lang w:val="fr-FR"/>
        </w:rPr>
        <w:t xml:space="preserve">la </w:t>
      </w:r>
      <w:r w:rsidRPr="00D911AF">
        <w:rPr>
          <w:lang w:val="fr-FR"/>
        </w:rPr>
        <w:t>détermination du préjudice à</w:t>
      </w:r>
      <w:r w:rsidR="00D911AF" w:rsidRPr="00D911AF">
        <w:rPr>
          <w:lang w:val="fr-FR"/>
        </w:rPr>
        <w:t xml:space="preserve"> </w:t>
      </w:r>
      <w:r w:rsidR="002D4542" w:rsidRPr="00D911AF">
        <w:rPr>
          <w:lang w:val="fr-FR"/>
        </w:rPr>
        <w:t xml:space="preserve">dédommager </w:t>
      </w:r>
      <w:r w:rsidRPr="00D911AF">
        <w:rPr>
          <w:lang w:val="fr-FR"/>
        </w:rPr>
        <w:t xml:space="preserve">sur </w:t>
      </w:r>
      <w:r w:rsidR="00234F73" w:rsidRPr="00D911AF">
        <w:rPr>
          <w:lang w:val="fr-FR"/>
        </w:rPr>
        <w:t xml:space="preserve">le total des </w:t>
      </w:r>
      <w:r w:rsidR="00D54645" w:rsidRPr="00D911AF">
        <w:rPr>
          <w:lang w:val="fr-FR"/>
        </w:rPr>
        <w:t>somme</w:t>
      </w:r>
      <w:r w:rsidR="00FF782F" w:rsidRPr="00D911AF">
        <w:rPr>
          <w:lang w:val="fr-FR"/>
        </w:rPr>
        <w:t>s</w:t>
      </w:r>
      <w:r w:rsidRPr="00D911AF">
        <w:rPr>
          <w:lang w:val="fr-FR"/>
        </w:rPr>
        <w:t xml:space="preserve"> qu</w:t>
      </w:r>
      <w:r w:rsidR="00D54645" w:rsidRPr="00D911AF">
        <w:rPr>
          <w:lang w:val="fr-FR"/>
        </w:rPr>
        <w:t>e les intéressés</w:t>
      </w:r>
      <w:r w:rsidRPr="00D911AF">
        <w:rPr>
          <w:lang w:val="fr-FR"/>
        </w:rPr>
        <w:t xml:space="preserve"> auraient dû percevoir en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absence de </w:t>
      </w:r>
      <w:r w:rsidR="00D54645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D54645" w:rsidRPr="00D911AF">
        <w:rPr>
          <w:lang w:val="fr-FR"/>
        </w:rPr>
        <w:t xml:space="preserve">adoption de </w:t>
      </w:r>
      <w:r w:rsidRPr="00D911AF">
        <w:rPr>
          <w:lang w:val="fr-FR"/>
        </w:rPr>
        <w:t>la loi</w:t>
      </w:r>
      <w:r w:rsidR="00510615" w:rsidRPr="00D911AF">
        <w:rPr>
          <w:lang w:val="fr-FR"/>
        </w:rPr>
        <w:t xml:space="preserve"> eu égard à</w:t>
      </w:r>
      <w:r w:rsidR="00C56BE2" w:rsidRPr="00D911AF">
        <w:rPr>
          <w:lang w:val="fr-FR"/>
        </w:rPr>
        <w:t xml:space="preserve"> la double violation </w:t>
      </w:r>
      <w:r w:rsidR="00D54645" w:rsidRPr="00D911AF">
        <w:rPr>
          <w:lang w:val="fr-FR"/>
        </w:rPr>
        <w:t xml:space="preserve">constatée, </w:t>
      </w:r>
      <w:r w:rsidR="00FF782F" w:rsidRPr="00D911AF">
        <w:rPr>
          <w:lang w:val="fr-FR"/>
        </w:rPr>
        <w:t xml:space="preserve">à savoir </w:t>
      </w:r>
      <w:r w:rsidR="00FB7A31" w:rsidRPr="00D911AF">
        <w:rPr>
          <w:lang w:val="fr-FR"/>
        </w:rPr>
        <w:t xml:space="preserve">la </w:t>
      </w:r>
      <w:r w:rsidR="003755C5" w:rsidRPr="00D911AF">
        <w:rPr>
          <w:lang w:val="fr-FR"/>
        </w:rPr>
        <w:t>violation</w:t>
      </w:r>
      <w:r w:rsidR="00DD4715" w:rsidRPr="00D911AF">
        <w:rPr>
          <w:lang w:val="fr-FR"/>
        </w:rPr>
        <w:t xml:space="preserve"> de</w:t>
      </w:r>
      <w:r w:rsidR="00D54645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="00C56BE2" w:rsidRPr="00D911AF">
        <w:rPr>
          <w:lang w:val="fr-FR"/>
        </w:rPr>
        <w:t xml:space="preserve">article 6 de la Convention et </w:t>
      </w:r>
      <w:r w:rsidR="00D54645" w:rsidRPr="00D911AF">
        <w:rPr>
          <w:lang w:val="fr-FR"/>
        </w:rPr>
        <w:t>de l</w:t>
      </w:r>
      <w:r w:rsidR="00D911AF" w:rsidRPr="00D911AF">
        <w:rPr>
          <w:lang w:val="fr-FR"/>
        </w:rPr>
        <w:t>’</w:t>
      </w:r>
      <w:r w:rsidR="00D54645" w:rsidRPr="00D911AF">
        <w:rPr>
          <w:lang w:val="fr-FR"/>
        </w:rPr>
        <w:t xml:space="preserve">article </w:t>
      </w:r>
      <w:r w:rsidR="00C56BE2" w:rsidRPr="00D911AF">
        <w:rPr>
          <w:lang w:val="fr-FR"/>
        </w:rPr>
        <w:t>1 du Protocole n</w:t>
      </w:r>
      <w:r w:rsidR="00144EF8" w:rsidRPr="00D911AF">
        <w:rPr>
          <w:vertAlign w:val="superscript"/>
          <w:lang w:val="fr-FR"/>
        </w:rPr>
        <w:t>o</w:t>
      </w:r>
      <w:r w:rsidR="00C56BE2" w:rsidRPr="00D911AF">
        <w:rPr>
          <w:lang w:val="fr-FR"/>
        </w:rPr>
        <w:t>1</w:t>
      </w:r>
      <w:r w:rsidR="00D54645" w:rsidRPr="00D911AF">
        <w:rPr>
          <w:lang w:val="fr-FR"/>
        </w:rPr>
        <w:t xml:space="preserve"> à la Convention</w:t>
      </w:r>
      <w:r w:rsidRPr="00D911AF">
        <w:rPr>
          <w:lang w:val="fr-FR"/>
        </w:rPr>
        <w:t>.</w:t>
      </w:r>
      <w:proofErr w:type="gramEnd"/>
    </w:p>
    <w:p w:rsidR="00144EF8" w:rsidRPr="00D911AF" w:rsidRDefault="00D27C54" w:rsidP="00D911AF">
      <w:pPr>
        <w:pStyle w:val="ECHRHeading4"/>
        <w:rPr>
          <w:lang w:val="fr-FR"/>
        </w:rPr>
      </w:pPr>
      <w:r w:rsidRPr="00D911AF">
        <w:rPr>
          <w:lang w:val="fr-FR"/>
        </w:rPr>
        <w:t>a</w:t>
      </w:r>
      <w:r w:rsidR="00F97626" w:rsidRPr="00D911AF">
        <w:rPr>
          <w:lang w:val="fr-FR"/>
        </w:rPr>
        <w:t>)  </w:t>
      </w:r>
      <w:r w:rsidR="002432DE" w:rsidRPr="00D911AF">
        <w:rPr>
          <w:lang w:val="fr-FR"/>
        </w:rPr>
        <w:t>Sur la d</w:t>
      </w:r>
      <w:r w:rsidRPr="00D911AF">
        <w:rPr>
          <w:lang w:val="fr-FR"/>
        </w:rPr>
        <w:t>étermination d</w:t>
      </w:r>
      <w:r w:rsidR="00B653A5" w:rsidRPr="00D911AF">
        <w:rPr>
          <w:lang w:val="fr-FR"/>
        </w:rPr>
        <w:t>es</w:t>
      </w:r>
      <w:r w:rsidRPr="00D911AF">
        <w:rPr>
          <w:lang w:val="fr-FR"/>
        </w:rPr>
        <w:t xml:space="preserve"> montant</w:t>
      </w:r>
      <w:r w:rsidR="00B653A5" w:rsidRPr="00D911AF">
        <w:rPr>
          <w:lang w:val="fr-FR"/>
        </w:rPr>
        <w:t>s</w:t>
      </w:r>
      <w:r w:rsidRPr="00D911AF">
        <w:rPr>
          <w:lang w:val="fr-FR"/>
        </w:rPr>
        <w:t xml:space="preserve"> correspondant à la différence entre les sommes que les requérants auraient dû obtenir en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absence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intervention de la loi litigieuse et celles effectivement perçues</w:t>
      </w:r>
      <w:r w:rsidR="00B00BF1" w:rsidRPr="00D911AF">
        <w:rPr>
          <w:lang w:val="fr-FR"/>
        </w:rPr>
        <w:t xml:space="preserve"> par eux</w:t>
      </w:r>
      <w:r w:rsidR="00D40F0C" w:rsidRPr="00D911AF">
        <w:rPr>
          <w:lang w:val="fr-FR"/>
        </w:rPr>
        <w:t xml:space="preserve"> et, notamment, sur la période de référence et sur les critères de calcul</w:t>
      </w:r>
    </w:p>
    <w:p w:rsidR="00144EF8" w:rsidRPr="00D911AF" w:rsidRDefault="00BB770C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17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D27C54" w:rsidRPr="00D911AF">
        <w:rPr>
          <w:lang w:val="fr-FR"/>
        </w:rPr>
        <w:t>L</w:t>
      </w:r>
      <w:r w:rsidR="00D537F5" w:rsidRPr="00D911AF">
        <w:rPr>
          <w:lang w:val="fr-FR"/>
        </w:rPr>
        <w:t xml:space="preserve">a Cour </w:t>
      </w:r>
      <w:r w:rsidR="00210BBD" w:rsidRPr="00D911AF">
        <w:rPr>
          <w:lang w:val="fr-FR"/>
        </w:rPr>
        <w:t xml:space="preserve">note </w:t>
      </w:r>
      <w:r w:rsidR="009E209A" w:rsidRPr="00D911AF">
        <w:rPr>
          <w:lang w:val="fr-FR"/>
        </w:rPr>
        <w:t>qu</w:t>
      </w:r>
      <w:r w:rsidR="00934747" w:rsidRPr="00D911AF">
        <w:rPr>
          <w:lang w:val="fr-FR"/>
        </w:rPr>
        <w:t>e</w:t>
      </w:r>
      <w:r w:rsidR="009E209A" w:rsidRPr="00D911AF">
        <w:rPr>
          <w:lang w:val="fr-FR"/>
        </w:rPr>
        <w:t xml:space="preserve"> le Gouvernement a chiffré</w:t>
      </w:r>
      <w:r w:rsidR="00453322" w:rsidRPr="00D911AF">
        <w:rPr>
          <w:lang w:val="fr-FR"/>
        </w:rPr>
        <w:t>, à l</w:t>
      </w:r>
      <w:r w:rsidR="00D911AF" w:rsidRPr="00D911AF">
        <w:rPr>
          <w:lang w:val="fr-FR"/>
        </w:rPr>
        <w:t>’</w:t>
      </w:r>
      <w:r w:rsidR="00453322" w:rsidRPr="00D911AF">
        <w:rPr>
          <w:lang w:val="fr-FR"/>
        </w:rPr>
        <w:t xml:space="preserve">aide de tableaux fournis par </w:t>
      </w:r>
      <w:r w:rsidR="00CC1900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DB47FC" w:rsidRPr="00D911AF">
        <w:rPr>
          <w:lang w:val="fr-FR"/>
        </w:rPr>
        <w:t>INPS</w:t>
      </w:r>
      <w:r w:rsidR="00B653A5" w:rsidRPr="00D911AF">
        <w:rPr>
          <w:lang w:val="fr-FR"/>
        </w:rPr>
        <w:t>,</w:t>
      </w:r>
      <w:r w:rsidR="009E209A" w:rsidRPr="00D911AF">
        <w:rPr>
          <w:lang w:val="fr-FR"/>
        </w:rPr>
        <w:t xml:space="preserve"> le préjudice subi par cha</w:t>
      </w:r>
      <w:r w:rsidR="009E26AB" w:rsidRPr="00D911AF">
        <w:rPr>
          <w:lang w:val="fr-FR"/>
        </w:rPr>
        <w:t>cun des</w:t>
      </w:r>
      <w:r w:rsidR="009E209A" w:rsidRPr="00D911AF">
        <w:rPr>
          <w:lang w:val="fr-FR"/>
        </w:rPr>
        <w:t xml:space="preserve"> requérant</w:t>
      </w:r>
      <w:r w:rsidR="009E26AB" w:rsidRPr="00D911AF">
        <w:rPr>
          <w:lang w:val="fr-FR"/>
        </w:rPr>
        <w:t>s</w:t>
      </w:r>
      <w:r w:rsidR="00AE2228" w:rsidRPr="00D911AF">
        <w:rPr>
          <w:lang w:val="fr-FR"/>
        </w:rPr>
        <w:t xml:space="preserve">. </w:t>
      </w:r>
      <w:r w:rsidR="00F71EBD" w:rsidRPr="00D911AF">
        <w:rPr>
          <w:lang w:val="fr-FR"/>
        </w:rPr>
        <w:t>À titre d</w:t>
      </w:r>
      <w:r w:rsidR="00D911AF" w:rsidRPr="00D911AF">
        <w:rPr>
          <w:lang w:val="fr-FR"/>
        </w:rPr>
        <w:t>’</w:t>
      </w:r>
      <w:r w:rsidR="00F71EBD" w:rsidRPr="00D911AF">
        <w:rPr>
          <w:lang w:val="fr-FR"/>
        </w:rPr>
        <w:t>exemple le Gouvernement fournit un</w:t>
      </w:r>
      <w:r w:rsidR="00D562C1" w:rsidRPr="00D911AF">
        <w:rPr>
          <w:lang w:val="fr-FR"/>
        </w:rPr>
        <w:t xml:space="preserve"> </w:t>
      </w:r>
      <w:r w:rsidR="00AE2228" w:rsidRPr="00D911AF">
        <w:rPr>
          <w:lang w:val="fr-FR"/>
        </w:rPr>
        <w:t xml:space="preserve">tableau </w:t>
      </w:r>
      <w:r w:rsidR="00D562C1" w:rsidRPr="00D911AF">
        <w:rPr>
          <w:lang w:val="fr-FR"/>
        </w:rPr>
        <w:t>établi</w:t>
      </w:r>
      <w:r w:rsidR="00AE2228" w:rsidRPr="00D911AF">
        <w:rPr>
          <w:lang w:val="fr-FR"/>
        </w:rPr>
        <w:t xml:space="preserve"> par l</w:t>
      </w:r>
      <w:r w:rsidR="00D911AF" w:rsidRPr="00D911AF">
        <w:rPr>
          <w:lang w:val="fr-FR"/>
        </w:rPr>
        <w:t>’</w:t>
      </w:r>
      <w:r w:rsidR="00AE2228" w:rsidRPr="00D911AF">
        <w:rPr>
          <w:lang w:val="fr-FR"/>
        </w:rPr>
        <w:t>INPS</w:t>
      </w:r>
      <w:r w:rsidR="00C56BE2" w:rsidRPr="00D911AF">
        <w:rPr>
          <w:lang w:val="fr-FR"/>
        </w:rPr>
        <w:t>, dans lequel</w:t>
      </w:r>
      <w:r w:rsidR="00CC1900" w:rsidRPr="00D911AF">
        <w:rPr>
          <w:lang w:val="fr-FR"/>
        </w:rPr>
        <w:t xml:space="preserve"> </w:t>
      </w:r>
      <w:r w:rsidR="009E26AB" w:rsidRPr="00D911AF">
        <w:rPr>
          <w:lang w:val="fr-FR"/>
        </w:rPr>
        <w:t>figure</w:t>
      </w:r>
      <w:r w:rsidR="00B31688" w:rsidRPr="00D911AF">
        <w:rPr>
          <w:lang w:val="fr-FR"/>
        </w:rPr>
        <w:t>nt</w:t>
      </w:r>
      <w:r w:rsidR="00CC1900" w:rsidRPr="00D911AF">
        <w:rPr>
          <w:lang w:val="fr-FR"/>
        </w:rPr>
        <w:t xml:space="preserve"> </w:t>
      </w:r>
      <w:r w:rsidR="00AE2228" w:rsidRPr="00D911AF">
        <w:rPr>
          <w:lang w:val="fr-FR"/>
        </w:rPr>
        <w:t>l</w:t>
      </w:r>
      <w:r w:rsidR="00B31688" w:rsidRPr="00D911AF">
        <w:rPr>
          <w:lang w:val="fr-FR"/>
        </w:rPr>
        <w:t xml:space="preserve">es </w:t>
      </w:r>
      <w:r w:rsidR="00AE2228" w:rsidRPr="00D911AF">
        <w:rPr>
          <w:lang w:val="fr-FR"/>
        </w:rPr>
        <w:t>arriéré</w:t>
      </w:r>
      <w:r w:rsidR="00B31688" w:rsidRPr="00D911AF">
        <w:rPr>
          <w:lang w:val="fr-FR"/>
        </w:rPr>
        <w:t>s</w:t>
      </w:r>
      <w:r w:rsidR="00AE2228" w:rsidRPr="00D911AF">
        <w:rPr>
          <w:lang w:val="fr-FR"/>
        </w:rPr>
        <w:t xml:space="preserve"> </w:t>
      </w:r>
      <w:r w:rsidR="005678F7" w:rsidRPr="00D911AF">
        <w:rPr>
          <w:lang w:val="fr-FR"/>
        </w:rPr>
        <w:t xml:space="preserve">de pension </w:t>
      </w:r>
      <w:r w:rsidR="00D562C1" w:rsidRPr="00D911AF">
        <w:rPr>
          <w:lang w:val="fr-FR"/>
        </w:rPr>
        <w:t xml:space="preserve">arrêtés </w:t>
      </w:r>
      <w:r w:rsidR="007823EF" w:rsidRPr="00D911AF">
        <w:rPr>
          <w:lang w:val="fr-FR"/>
        </w:rPr>
        <w:t>en</w:t>
      </w:r>
      <w:r w:rsidR="00AE2228" w:rsidRPr="00D911AF">
        <w:rPr>
          <w:lang w:val="fr-FR"/>
        </w:rPr>
        <w:t xml:space="preserve"> 2012 </w:t>
      </w:r>
      <w:r w:rsidR="005678F7" w:rsidRPr="00D911AF">
        <w:rPr>
          <w:lang w:val="fr-FR"/>
        </w:rPr>
        <w:t>q</w:t>
      </w:r>
      <w:r w:rsidR="00AE2228" w:rsidRPr="00D911AF">
        <w:rPr>
          <w:lang w:val="fr-FR"/>
        </w:rPr>
        <w:t xml:space="preserve">ui auraient dû être </w:t>
      </w:r>
      <w:r w:rsidR="009E26AB" w:rsidRPr="00D911AF">
        <w:rPr>
          <w:lang w:val="fr-FR"/>
        </w:rPr>
        <w:t>versés</w:t>
      </w:r>
      <w:r w:rsidR="00AE2228" w:rsidRPr="00D911AF">
        <w:rPr>
          <w:lang w:val="fr-FR"/>
        </w:rPr>
        <w:t xml:space="preserve"> aux requérants en l</w:t>
      </w:r>
      <w:r w:rsidR="00D911AF" w:rsidRPr="00D911AF">
        <w:rPr>
          <w:lang w:val="fr-FR"/>
        </w:rPr>
        <w:t>’</w:t>
      </w:r>
      <w:r w:rsidR="00AE2228" w:rsidRPr="00D911AF">
        <w:rPr>
          <w:lang w:val="fr-FR"/>
        </w:rPr>
        <w:t xml:space="preserve">absence de </w:t>
      </w:r>
      <w:r w:rsidR="009E26AB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9E26AB" w:rsidRPr="00D911AF">
        <w:rPr>
          <w:lang w:val="fr-FR"/>
        </w:rPr>
        <w:t xml:space="preserve">adoption de </w:t>
      </w:r>
      <w:r w:rsidR="00AE2228" w:rsidRPr="00D911AF">
        <w:rPr>
          <w:lang w:val="fr-FR"/>
        </w:rPr>
        <w:t>la loi de 2006</w:t>
      </w:r>
      <w:r w:rsidR="00677642" w:rsidRPr="00D911AF">
        <w:rPr>
          <w:lang w:val="fr-FR"/>
        </w:rPr>
        <w:t xml:space="preserve"> voir annexe II)</w:t>
      </w:r>
      <w:r w:rsidR="00AE2228" w:rsidRPr="00D911AF">
        <w:rPr>
          <w:lang w:val="fr-FR"/>
        </w:rPr>
        <w:t xml:space="preserve">. </w:t>
      </w:r>
      <w:r w:rsidR="007823EF" w:rsidRPr="00D911AF">
        <w:rPr>
          <w:lang w:val="fr-FR"/>
        </w:rPr>
        <w:t>L</w:t>
      </w:r>
      <w:r w:rsidR="00D27C54" w:rsidRPr="00D911AF">
        <w:rPr>
          <w:lang w:val="fr-FR"/>
        </w:rPr>
        <w:t>a Cour remarque que</w:t>
      </w:r>
      <w:r w:rsidR="00771D4A" w:rsidRPr="00D911AF">
        <w:rPr>
          <w:lang w:val="fr-FR"/>
        </w:rPr>
        <w:t>, de leur côté,</w:t>
      </w:r>
      <w:r w:rsidR="00D27C54" w:rsidRPr="00D911AF">
        <w:rPr>
          <w:lang w:val="fr-FR"/>
        </w:rPr>
        <w:t xml:space="preserve"> </w:t>
      </w:r>
      <w:r w:rsidR="00934747" w:rsidRPr="00D911AF">
        <w:rPr>
          <w:lang w:val="fr-FR"/>
        </w:rPr>
        <w:t>les requérant</w:t>
      </w:r>
      <w:r w:rsidR="00844B5A" w:rsidRPr="00D911AF">
        <w:rPr>
          <w:lang w:val="fr-FR"/>
        </w:rPr>
        <w:t>s</w:t>
      </w:r>
      <w:r w:rsidR="00934747" w:rsidRPr="00D911AF">
        <w:rPr>
          <w:lang w:val="fr-FR"/>
        </w:rPr>
        <w:t xml:space="preserve"> ont inclus dans leurs propositions </w:t>
      </w:r>
      <w:r w:rsidR="00AE2228" w:rsidRPr="00D911AF">
        <w:rPr>
          <w:lang w:val="fr-FR"/>
        </w:rPr>
        <w:t xml:space="preserve">la différence de </w:t>
      </w:r>
      <w:r w:rsidR="00210BBD" w:rsidRPr="00D911AF">
        <w:rPr>
          <w:lang w:val="fr-FR"/>
        </w:rPr>
        <w:t xml:space="preserve">montant </w:t>
      </w:r>
      <w:r w:rsidR="00C57944" w:rsidRPr="00D911AF">
        <w:rPr>
          <w:lang w:val="fr-FR"/>
        </w:rPr>
        <w:t>entre les</w:t>
      </w:r>
      <w:r w:rsidR="00210BBD" w:rsidRPr="00D911AF">
        <w:rPr>
          <w:lang w:val="fr-FR"/>
        </w:rPr>
        <w:t xml:space="preserve"> </w:t>
      </w:r>
      <w:r w:rsidR="00AE2228" w:rsidRPr="00D911AF">
        <w:rPr>
          <w:lang w:val="fr-FR"/>
        </w:rPr>
        <w:t>pension</w:t>
      </w:r>
      <w:r w:rsidR="00AE1BA4" w:rsidRPr="00D911AF">
        <w:rPr>
          <w:lang w:val="fr-FR"/>
        </w:rPr>
        <w:t>s</w:t>
      </w:r>
      <w:r w:rsidR="00AE2228" w:rsidRPr="00D911AF">
        <w:rPr>
          <w:lang w:val="fr-FR"/>
        </w:rPr>
        <w:t xml:space="preserve"> qu</w:t>
      </w:r>
      <w:r w:rsidR="00D911AF" w:rsidRPr="00D911AF">
        <w:rPr>
          <w:lang w:val="fr-FR"/>
        </w:rPr>
        <w:t>’</w:t>
      </w:r>
      <w:r w:rsidR="00AE2228" w:rsidRPr="00D911AF">
        <w:rPr>
          <w:lang w:val="fr-FR"/>
        </w:rPr>
        <w:t>i</w:t>
      </w:r>
      <w:r w:rsidR="007823EF" w:rsidRPr="00D911AF">
        <w:rPr>
          <w:lang w:val="fr-FR"/>
        </w:rPr>
        <w:t>ls</w:t>
      </w:r>
      <w:r w:rsidR="00AE2228" w:rsidRPr="00D911AF">
        <w:rPr>
          <w:lang w:val="fr-FR"/>
        </w:rPr>
        <w:t xml:space="preserve"> auraient pu obtenir </w:t>
      </w:r>
      <w:r w:rsidR="00934747" w:rsidRPr="00D911AF">
        <w:rPr>
          <w:lang w:val="fr-FR"/>
        </w:rPr>
        <w:t>jusqu</w:t>
      </w:r>
      <w:r w:rsidR="00D911AF" w:rsidRPr="00D911AF">
        <w:rPr>
          <w:lang w:val="fr-FR"/>
        </w:rPr>
        <w:t>’</w:t>
      </w:r>
      <w:r w:rsidR="00934747" w:rsidRPr="00D911AF">
        <w:rPr>
          <w:lang w:val="fr-FR"/>
        </w:rPr>
        <w:t>à la fin de leur vie</w:t>
      </w:r>
      <w:r w:rsidR="00AE2228" w:rsidRPr="00D911AF">
        <w:rPr>
          <w:lang w:val="fr-FR"/>
        </w:rPr>
        <w:t xml:space="preserve"> selon une estimation d</w:t>
      </w:r>
      <w:r w:rsidR="00210BBD" w:rsidRPr="00D911AF">
        <w:rPr>
          <w:lang w:val="fr-FR"/>
        </w:rPr>
        <w:t>e l</w:t>
      </w:r>
      <w:r w:rsidR="00D911AF" w:rsidRPr="00D911AF">
        <w:rPr>
          <w:lang w:val="fr-FR"/>
        </w:rPr>
        <w:t>’</w:t>
      </w:r>
      <w:r w:rsidR="00AE2228" w:rsidRPr="00D911AF">
        <w:rPr>
          <w:lang w:val="fr-FR"/>
        </w:rPr>
        <w:t>espérance de vie résiduelle</w:t>
      </w:r>
      <w:r w:rsidR="00C57944" w:rsidRPr="00D911AF">
        <w:rPr>
          <w:lang w:val="fr-FR"/>
        </w:rPr>
        <w:t xml:space="preserve"> et celles qu</w:t>
      </w:r>
      <w:r w:rsidR="00D911AF" w:rsidRPr="00D911AF">
        <w:rPr>
          <w:lang w:val="fr-FR"/>
        </w:rPr>
        <w:t>’</w:t>
      </w:r>
      <w:r w:rsidR="00C57944" w:rsidRPr="00D911AF">
        <w:rPr>
          <w:lang w:val="fr-FR"/>
        </w:rPr>
        <w:t xml:space="preserve">ils </w:t>
      </w:r>
      <w:r w:rsidR="00B00BF1" w:rsidRPr="00D911AF">
        <w:rPr>
          <w:lang w:val="fr-FR"/>
        </w:rPr>
        <w:t>percevro</w:t>
      </w:r>
      <w:r w:rsidR="00C57944" w:rsidRPr="00D911AF">
        <w:rPr>
          <w:lang w:val="fr-FR"/>
        </w:rPr>
        <w:t>nt effectivement</w:t>
      </w:r>
      <w:r w:rsidR="00934747" w:rsidRPr="00D911AF">
        <w:rPr>
          <w:lang w:val="fr-FR"/>
        </w:rPr>
        <w:t>.</w:t>
      </w:r>
    </w:p>
    <w:p w:rsidR="004329E5" w:rsidRPr="00D911AF" w:rsidRDefault="00B216E7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18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3278EF" w:rsidRPr="00D911AF">
        <w:rPr>
          <w:lang w:val="fr-FR"/>
        </w:rPr>
        <w:t>Pour ce qui est de la détermination de la période de référence,</w:t>
      </w:r>
      <w:r w:rsidRPr="00D911AF">
        <w:rPr>
          <w:lang w:val="fr-FR"/>
        </w:rPr>
        <w:t xml:space="preserve"> la Cour ne partage pas</w:t>
      </w:r>
      <w:r w:rsidR="00982087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argument</w:t>
      </w:r>
      <w:r w:rsidR="00982087" w:rsidRPr="00D911AF">
        <w:rPr>
          <w:lang w:val="fr-FR"/>
        </w:rPr>
        <w:t xml:space="preserve"> du Gouvernement </w:t>
      </w:r>
      <w:r w:rsidRPr="00D911AF">
        <w:rPr>
          <w:lang w:val="fr-FR"/>
        </w:rPr>
        <w:t xml:space="preserve">selon lequel il </w:t>
      </w:r>
      <w:r w:rsidR="00771D4A" w:rsidRPr="00D911AF">
        <w:rPr>
          <w:lang w:val="fr-FR"/>
        </w:rPr>
        <w:t>convien</w:t>
      </w:r>
      <w:r w:rsidRPr="00D911AF">
        <w:rPr>
          <w:lang w:val="fr-FR"/>
        </w:rPr>
        <w:t xml:space="preserve">drait </w:t>
      </w:r>
      <w:r w:rsidR="00771D4A" w:rsidRPr="00D911AF">
        <w:rPr>
          <w:lang w:val="fr-FR"/>
        </w:rPr>
        <w:t xml:space="preserve">de </w:t>
      </w:r>
      <w:r w:rsidR="00B653A5" w:rsidRPr="00D911AF">
        <w:rPr>
          <w:lang w:val="fr-FR"/>
        </w:rPr>
        <w:t xml:space="preserve">prendre </w:t>
      </w:r>
      <w:r w:rsidR="00771D4A" w:rsidRPr="00D911AF">
        <w:rPr>
          <w:lang w:val="fr-FR"/>
        </w:rPr>
        <w:t xml:space="preserve">uniquement </w:t>
      </w:r>
      <w:r w:rsidR="00B653A5" w:rsidRPr="00D911AF">
        <w:rPr>
          <w:lang w:val="fr-FR"/>
        </w:rPr>
        <w:t>en compte</w:t>
      </w:r>
      <w:r w:rsidRPr="00D911AF">
        <w:rPr>
          <w:lang w:val="fr-FR"/>
        </w:rPr>
        <w:t xml:space="preserve"> la période </w:t>
      </w:r>
      <w:r w:rsidR="00771D4A" w:rsidRPr="00D911AF">
        <w:rPr>
          <w:lang w:val="fr-FR"/>
        </w:rPr>
        <w:t>comprise entre</w:t>
      </w:r>
      <w:r w:rsidR="00B653A5" w:rsidRPr="00D911AF">
        <w:rPr>
          <w:lang w:val="fr-FR"/>
        </w:rPr>
        <w:t xml:space="preserve"> la date d</w:t>
      </w:r>
      <w:r w:rsidR="00771D4A" w:rsidRPr="00D911AF">
        <w:rPr>
          <w:lang w:val="fr-FR"/>
        </w:rPr>
        <w:t>e</w:t>
      </w:r>
      <w:r w:rsidR="00B653A5" w:rsidRPr="00D911AF">
        <w:rPr>
          <w:lang w:val="fr-FR"/>
        </w:rPr>
        <w:t xml:space="preserve"> départ à la retraite </w:t>
      </w:r>
      <w:r w:rsidR="00771D4A" w:rsidRPr="00D911AF">
        <w:rPr>
          <w:lang w:val="fr-FR"/>
        </w:rPr>
        <w:t xml:space="preserve">des requérants et la date de </w:t>
      </w:r>
      <w:r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entrée en vigueur de la loi de 2006. </w:t>
      </w:r>
      <w:r w:rsidR="00210BBD" w:rsidRPr="00D911AF">
        <w:rPr>
          <w:lang w:val="fr-FR"/>
        </w:rPr>
        <w:t>À ses yeux</w:t>
      </w:r>
      <w:r w:rsidR="00B653A5" w:rsidRPr="00D911AF">
        <w:rPr>
          <w:lang w:val="fr-FR"/>
        </w:rPr>
        <w:t>,</w:t>
      </w:r>
      <w:r w:rsidR="004329E5" w:rsidRPr="00D911AF">
        <w:rPr>
          <w:lang w:val="fr-FR"/>
        </w:rPr>
        <w:t xml:space="preserve"> la violation de</w:t>
      </w:r>
      <w:r w:rsidR="006D35D1" w:rsidRPr="00D911AF">
        <w:rPr>
          <w:lang w:val="fr-FR"/>
        </w:rPr>
        <w:t xml:space="preserve">s </w:t>
      </w:r>
      <w:r w:rsidR="004329E5" w:rsidRPr="00D911AF">
        <w:rPr>
          <w:lang w:val="fr-FR"/>
        </w:rPr>
        <w:t>article</w:t>
      </w:r>
      <w:r w:rsidR="006D35D1" w:rsidRPr="00D911AF">
        <w:rPr>
          <w:lang w:val="fr-FR"/>
        </w:rPr>
        <w:t>s 6 de la Convention et</w:t>
      </w:r>
      <w:r w:rsidR="004329E5" w:rsidRPr="00D911AF">
        <w:rPr>
          <w:lang w:val="fr-FR"/>
        </w:rPr>
        <w:t xml:space="preserve"> 1 du Protocole n</w:t>
      </w:r>
      <w:r w:rsidR="00144EF8" w:rsidRPr="00D911AF">
        <w:rPr>
          <w:vertAlign w:val="superscript"/>
          <w:lang w:val="fr-FR"/>
        </w:rPr>
        <w:t>o</w:t>
      </w:r>
      <w:r w:rsidR="004329E5" w:rsidRPr="00D911AF">
        <w:rPr>
          <w:lang w:val="fr-FR"/>
        </w:rPr>
        <w:t xml:space="preserve"> 1 </w:t>
      </w:r>
      <w:r w:rsidR="00771D4A" w:rsidRPr="00D911AF">
        <w:rPr>
          <w:lang w:val="fr-FR"/>
        </w:rPr>
        <w:t xml:space="preserve">à la Convention </w:t>
      </w:r>
      <w:r w:rsidR="004329E5" w:rsidRPr="00D911AF">
        <w:rPr>
          <w:lang w:val="fr-FR"/>
        </w:rPr>
        <w:t>n</w:t>
      </w:r>
      <w:r w:rsidR="00D911AF" w:rsidRPr="00D911AF">
        <w:rPr>
          <w:lang w:val="fr-FR"/>
        </w:rPr>
        <w:t>’</w:t>
      </w:r>
      <w:r w:rsidR="004329E5" w:rsidRPr="00D911AF">
        <w:rPr>
          <w:lang w:val="fr-FR"/>
        </w:rPr>
        <w:t xml:space="preserve">est pas </w:t>
      </w:r>
      <w:r w:rsidR="00B653A5" w:rsidRPr="00D911AF">
        <w:rPr>
          <w:lang w:val="fr-FR"/>
        </w:rPr>
        <w:t xml:space="preserve">liée </w:t>
      </w:r>
      <w:r w:rsidR="00210BBD" w:rsidRPr="00D911AF">
        <w:rPr>
          <w:lang w:val="fr-FR"/>
        </w:rPr>
        <w:t>exclusivement</w:t>
      </w:r>
      <w:r w:rsidR="004329E5" w:rsidRPr="00D911AF">
        <w:rPr>
          <w:lang w:val="fr-FR"/>
        </w:rPr>
        <w:t xml:space="preserve"> au caractère rétroactif de la loi</w:t>
      </w:r>
      <w:r w:rsidRPr="00D911AF">
        <w:rPr>
          <w:lang w:val="fr-FR"/>
        </w:rPr>
        <w:t xml:space="preserve"> </w:t>
      </w:r>
      <w:r w:rsidR="006D35D1" w:rsidRPr="00D911AF">
        <w:rPr>
          <w:lang w:val="fr-FR"/>
        </w:rPr>
        <w:t>ainsi qu</w:t>
      </w:r>
      <w:r w:rsidR="00D911AF" w:rsidRPr="00D911AF">
        <w:rPr>
          <w:lang w:val="fr-FR"/>
        </w:rPr>
        <w:t>’</w:t>
      </w:r>
      <w:r w:rsidR="006D35D1" w:rsidRPr="00D911AF">
        <w:rPr>
          <w:lang w:val="fr-FR"/>
        </w:rPr>
        <w:t>elle l</w:t>
      </w:r>
      <w:r w:rsidR="00D911AF" w:rsidRPr="00D911AF">
        <w:rPr>
          <w:lang w:val="fr-FR"/>
        </w:rPr>
        <w:t>’</w:t>
      </w:r>
      <w:r w:rsidR="006D35D1" w:rsidRPr="00D911AF">
        <w:rPr>
          <w:lang w:val="fr-FR"/>
        </w:rPr>
        <w:t xml:space="preserve">a déjà affirmé, uniquement </w:t>
      </w:r>
      <w:r w:rsidR="00B15F7C" w:rsidRPr="00D911AF">
        <w:rPr>
          <w:lang w:val="fr-FR"/>
        </w:rPr>
        <w:t>par rapport à</w:t>
      </w:r>
      <w:r w:rsidR="006D35D1" w:rsidRPr="00D911AF">
        <w:rPr>
          <w:lang w:val="fr-FR"/>
        </w:rPr>
        <w:t xml:space="preserve"> la première de</w:t>
      </w:r>
      <w:r w:rsidR="00B15F7C" w:rsidRPr="00D911AF">
        <w:rPr>
          <w:lang w:val="fr-FR"/>
        </w:rPr>
        <w:t>s</w:t>
      </w:r>
      <w:r w:rsidR="006D35D1" w:rsidRPr="00D911AF">
        <w:rPr>
          <w:lang w:val="fr-FR"/>
        </w:rPr>
        <w:t xml:space="preserve"> deux dispositions ci-dessus citées, dans les affaires </w:t>
      </w:r>
      <w:proofErr w:type="spellStart"/>
      <w:r w:rsidR="006D35D1" w:rsidRPr="00D911AF">
        <w:rPr>
          <w:i/>
          <w:lang w:val="fr-FR"/>
        </w:rPr>
        <w:t>Cataldo</w:t>
      </w:r>
      <w:proofErr w:type="spellEnd"/>
      <w:r w:rsidR="006D35D1" w:rsidRPr="00D911AF">
        <w:rPr>
          <w:i/>
          <w:lang w:val="fr-FR"/>
        </w:rPr>
        <w:t xml:space="preserve"> </w:t>
      </w:r>
      <w:r w:rsidR="006D35D1" w:rsidRPr="00D911AF">
        <w:rPr>
          <w:lang w:val="fr-FR"/>
        </w:rPr>
        <w:t xml:space="preserve">et </w:t>
      </w:r>
      <w:proofErr w:type="spellStart"/>
      <w:r w:rsidR="006D35D1" w:rsidRPr="00D911AF">
        <w:rPr>
          <w:i/>
          <w:lang w:val="fr-FR"/>
        </w:rPr>
        <w:t>Biraghi</w:t>
      </w:r>
      <w:proofErr w:type="spellEnd"/>
      <w:r w:rsidR="006D35D1" w:rsidRPr="00D911AF">
        <w:rPr>
          <w:lang w:val="fr-FR"/>
        </w:rPr>
        <w:t xml:space="preserve"> (précitées, §§ 65 et 66 et 51et 52 respectivement)</w:t>
      </w:r>
      <w:r w:rsidRPr="00D911AF">
        <w:rPr>
          <w:lang w:val="fr-FR"/>
        </w:rPr>
        <w:t>.</w:t>
      </w:r>
    </w:p>
    <w:p w:rsidR="00657258" w:rsidRPr="00D911AF" w:rsidRDefault="00B216E7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19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3278EF" w:rsidRPr="00D911AF">
        <w:rPr>
          <w:lang w:val="fr-FR"/>
        </w:rPr>
        <w:t>L</w:t>
      </w:r>
      <w:r w:rsidRPr="00D911AF">
        <w:rPr>
          <w:lang w:val="fr-FR"/>
        </w:rPr>
        <w:t xml:space="preserve">a Cour rejette </w:t>
      </w:r>
      <w:r w:rsidR="003278EF" w:rsidRPr="00D911AF">
        <w:rPr>
          <w:lang w:val="fr-FR"/>
        </w:rPr>
        <w:t xml:space="preserve">également </w:t>
      </w:r>
      <w:r w:rsidR="00B653A5" w:rsidRPr="00D911AF">
        <w:rPr>
          <w:lang w:val="fr-FR"/>
        </w:rPr>
        <w:t>les prétentions</w:t>
      </w:r>
      <w:r w:rsidRPr="00D911AF">
        <w:rPr>
          <w:lang w:val="fr-FR"/>
        </w:rPr>
        <w:t xml:space="preserve"> des requérants </w:t>
      </w:r>
      <w:r w:rsidR="00FF4116" w:rsidRPr="00D911AF">
        <w:rPr>
          <w:lang w:val="fr-FR"/>
        </w:rPr>
        <w:t>fond</w:t>
      </w:r>
      <w:r w:rsidR="00B653A5" w:rsidRPr="00D911AF">
        <w:rPr>
          <w:lang w:val="fr-FR"/>
        </w:rPr>
        <w:t>ées sur</w:t>
      </w:r>
      <w:r w:rsidRPr="00D911AF">
        <w:rPr>
          <w:lang w:val="fr-FR"/>
        </w:rPr>
        <w:t xml:space="preserve"> la période </w:t>
      </w:r>
      <w:r w:rsidR="00D75C10" w:rsidRPr="00D911AF">
        <w:rPr>
          <w:lang w:val="fr-FR"/>
        </w:rPr>
        <w:t>allant</w:t>
      </w:r>
      <w:r w:rsidRPr="00D911AF">
        <w:rPr>
          <w:lang w:val="fr-FR"/>
        </w:rPr>
        <w:t xml:space="preserve"> jusqu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à l</w:t>
      </w:r>
      <w:r w:rsidR="00FF4116" w:rsidRPr="00D911AF">
        <w:rPr>
          <w:lang w:val="fr-FR"/>
        </w:rPr>
        <w:t>a</w:t>
      </w:r>
      <w:r w:rsidRPr="00D911AF">
        <w:rPr>
          <w:lang w:val="fr-FR"/>
        </w:rPr>
        <w:t xml:space="preserve"> fin de </w:t>
      </w:r>
      <w:r w:rsidR="00FF4116" w:rsidRPr="00D911AF">
        <w:rPr>
          <w:lang w:val="fr-FR"/>
        </w:rPr>
        <w:t xml:space="preserve">leur </w:t>
      </w:r>
      <w:r w:rsidRPr="00D911AF">
        <w:rPr>
          <w:lang w:val="fr-FR"/>
        </w:rPr>
        <w:t xml:space="preserve">vie </w:t>
      </w:r>
      <w:r w:rsidR="00FF4116" w:rsidRPr="00D911AF">
        <w:rPr>
          <w:lang w:val="fr-FR"/>
        </w:rPr>
        <w:t>basée sur une estimation de l</w:t>
      </w:r>
      <w:r w:rsidR="00D911AF" w:rsidRPr="00D911AF">
        <w:rPr>
          <w:lang w:val="fr-FR"/>
        </w:rPr>
        <w:t>’</w:t>
      </w:r>
      <w:r w:rsidR="00FF4116" w:rsidRPr="00D911AF">
        <w:rPr>
          <w:lang w:val="fr-FR"/>
        </w:rPr>
        <w:t>espérance de vie résiduelle</w:t>
      </w:r>
      <w:r w:rsidRPr="00D911AF">
        <w:rPr>
          <w:lang w:val="fr-FR"/>
        </w:rPr>
        <w:t xml:space="preserve">. </w:t>
      </w:r>
      <w:r w:rsidR="00657258" w:rsidRPr="00D911AF">
        <w:rPr>
          <w:lang w:val="fr-FR"/>
        </w:rPr>
        <w:t xml:space="preserve">La Cour </w:t>
      </w:r>
      <w:r w:rsidR="006A0065" w:rsidRPr="00D911AF">
        <w:rPr>
          <w:lang w:val="fr-FR"/>
        </w:rPr>
        <w:t>souligne</w:t>
      </w:r>
      <w:r w:rsidR="00657258" w:rsidRPr="00D911AF">
        <w:rPr>
          <w:lang w:val="fr-FR"/>
        </w:rPr>
        <w:t xml:space="preserve"> </w:t>
      </w:r>
      <w:r w:rsidR="006A0065" w:rsidRPr="00D911AF">
        <w:rPr>
          <w:lang w:val="fr-FR"/>
        </w:rPr>
        <w:t xml:space="preserve">que la satisfaction équitable </w:t>
      </w:r>
      <w:r w:rsidR="006A0065" w:rsidRPr="00D911AF">
        <w:rPr>
          <w:lang w:val="fr-FR"/>
        </w:rPr>
        <w:lastRenderedPageBreak/>
        <w:t>ne peut être accordée au titre de l</w:t>
      </w:r>
      <w:r w:rsidR="00D911AF" w:rsidRPr="00D911AF">
        <w:rPr>
          <w:lang w:val="fr-FR"/>
        </w:rPr>
        <w:t>’</w:t>
      </w:r>
      <w:r w:rsidR="006A0065" w:rsidRPr="00D911AF">
        <w:rPr>
          <w:lang w:val="fr-FR"/>
        </w:rPr>
        <w:t>article 41 que pour autant qu</w:t>
      </w:r>
      <w:r w:rsidR="00D911AF" w:rsidRPr="00D911AF">
        <w:rPr>
          <w:lang w:val="fr-FR"/>
        </w:rPr>
        <w:t>’</w:t>
      </w:r>
      <w:r w:rsidR="006A0065" w:rsidRPr="00D911AF">
        <w:rPr>
          <w:lang w:val="fr-FR"/>
        </w:rPr>
        <w:t>elle se rapporte à une ou plusieurs violations constatées par la Cour. En l</w:t>
      </w:r>
      <w:r w:rsidR="00D911AF" w:rsidRPr="00D911AF">
        <w:rPr>
          <w:lang w:val="fr-FR"/>
        </w:rPr>
        <w:t>’</w:t>
      </w:r>
      <w:r w:rsidR="006A0065" w:rsidRPr="00D911AF">
        <w:rPr>
          <w:lang w:val="fr-FR"/>
        </w:rPr>
        <w:t xml:space="preserve">espèce, la Cour a constaté la violation de </w:t>
      </w:r>
      <w:r w:rsidR="00FF04B5" w:rsidRPr="00D911AF">
        <w:rPr>
          <w:lang w:val="fr-FR"/>
        </w:rPr>
        <w:t>la Convention</w:t>
      </w:r>
      <w:r w:rsidR="006A0065" w:rsidRPr="00D911AF">
        <w:rPr>
          <w:lang w:val="fr-FR"/>
        </w:rPr>
        <w:t xml:space="preserve"> pour la période allant du départ à la retraite des requérants jusqu</w:t>
      </w:r>
      <w:r w:rsidR="00D911AF" w:rsidRPr="00D911AF">
        <w:rPr>
          <w:lang w:val="fr-FR"/>
        </w:rPr>
        <w:t>’</w:t>
      </w:r>
      <w:r w:rsidR="006A0065" w:rsidRPr="00D911AF">
        <w:rPr>
          <w:lang w:val="fr-FR"/>
        </w:rPr>
        <w:t>en 2014, moment où l</w:t>
      </w:r>
      <w:r w:rsidR="00D911AF" w:rsidRPr="00D911AF">
        <w:rPr>
          <w:lang w:val="fr-FR"/>
        </w:rPr>
        <w:t>’</w:t>
      </w:r>
      <w:r w:rsidR="006A0065" w:rsidRPr="00D911AF">
        <w:rPr>
          <w:lang w:val="fr-FR"/>
        </w:rPr>
        <w:t xml:space="preserve">arrêt sur le fond a </w:t>
      </w:r>
      <w:r w:rsidR="00B862D1" w:rsidRPr="00D911AF">
        <w:rPr>
          <w:lang w:val="fr-FR"/>
        </w:rPr>
        <w:t xml:space="preserve">été </w:t>
      </w:r>
      <w:r w:rsidR="006A0065" w:rsidRPr="00D911AF">
        <w:rPr>
          <w:lang w:val="fr-FR"/>
        </w:rPr>
        <w:t xml:space="preserve">adopté par la Cour. </w:t>
      </w:r>
      <w:r w:rsidR="00263C38" w:rsidRPr="00D911AF">
        <w:rPr>
          <w:lang w:val="fr-FR"/>
        </w:rPr>
        <w:t>Elle estime que le reste du préjudice souffert est à</w:t>
      </w:r>
      <w:r w:rsidR="001D1AE8" w:rsidRPr="00D911AF">
        <w:rPr>
          <w:lang w:val="fr-FR"/>
        </w:rPr>
        <w:t xml:space="preserve"> déterminer et </w:t>
      </w:r>
      <w:r w:rsidR="00263C38" w:rsidRPr="00D911AF">
        <w:rPr>
          <w:lang w:val="fr-FR"/>
        </w:rPr>
        <w:t>régler dans le cadre de la procédure d</w:t>
      </w:r>
      <w:r w:rsidR="00D911AF" w:rsidRPr="00D911AF">
        <w:rPr>
          <w:lang w:val="fr-FR"/>
        </w:rPr>
        <w:t>’</w:t>
      </w:r>
      <w:r w:rsidR="00263C38" w:rsidRPr="00D911AF">
        <w:rPr>
          <w:lang w:val="fr-FR"/>
        </w:rPr>
        <w:t>exécution de l</w:t>
      </w:r>
      <w:r w:rsidR="00D911AF" w:rsidRPr="00D911AF">
        <w:rPr>
          <w:lang w:val="fr-FR"/>
        </w:rPr>
        <w:t>’</w:t>
      </w:r>
      <w:r w:rsidR="00263C38" w:rsidRPr="00D911AF">
        <w:rPr>
          <w:lang w:val="fr-FR"/>
        </w:rPr>
        <w:t>arrêt au principal (voir article 46 §§ 1 et 2 de la Convention et § 20 ci-dessous).</w:t>
      </w:r>
    </w:p>
    <w:p w:rsidR="00CC3F90" w:rsidRPr="00D911AF" w:rsidRDefault="00253BA1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20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315105" w:rsidRPr="00D911AF">
        <w:rPr>
          <w:lang w:val="fr-FR"/>
        </w:rPr>
        <w:t xml:space="preserve">À cet égard, la Cour constate que les dommages réclamés concernant </w:t>
      </w:r>
      <w:r w:rsidR="00E52BEA" w:rsidRPr="00D911AF">
        <w:rPr>
          <w:lang w:val="fr-FR"/>
        </w:rPr>
        <w:t xml:space="preserve">la </w:t>
      </w:r>
      <w:r w:rsidR="00315105" w:rsidRPr="00D911AF">
        <w:rPr>
          <w:lang w:val="fr-FR"/>
        </w:rPr>
        <w:t xml:space="preserve">période </w:t>
      </w:r>
      <w:r w:rsidR="005C5D89" w:rsidRPr="00D911AF">
        <w:rPr>
          <w:lang w:val="fr-FR"/>
        </w:rPr>
        <w:t>postérieure à</w:t>
      </w:r>
      <w:r w:rsidR="00E52BEA" w:rsidRPr="00D911AF">
        <w:rPr>
          <w:lang w:val="fr-FR"/>
        </w:rPr>
        <w:t xml:space="preserve"> la publication de l</w:t>
      </w:r>
      <w:r w:rsidR="00D911AF" w:rsidRPr="00D911AF">
        <w:rPr>
          <w:lang w:val="fr-FR"/>
        </w:rPr>
        <w:t>’</w:t>
      </w:r>
      <w:r w:rsidR="00E52BEA" w:rsidRPr="00D911AF">
        <w:rPr>
          <w:lang w:val="fr-FR"/>
        </w:rPr>
        <w:t xml:space="preserve">arrêt </w:t>
      </w:r>
      <w:r w:rsidR="00365FF6" w:rsidRPr="00D911AF">
        <w:rPr>
          <w:lang w:val="fr-FR"/>
        </w:rPr>
        <w:t>au principal</w:t>
      </w:r>
      <w:r w:rsidR="00E52BEA" w:rsidRPr="00D911AF">
        <w:rPr>
          <w:lang w:val="fr-FR"/>
        </w:rPr>
        <w:t xml:space="preserve"> de la Cour </w:t>
      </w:r>
      <w:r w:rsidR="00315105" w:rsidRPr="00D911AF">
        <w:rPr>
          <w:lang w:val="fr-FR"/>
        </w:rPr>
        <w:t>tirent leur origine du fait que la loi litigieuse, considérée par elle comme ayant emporté violation de l</w:t>
      </w:r>
      <w:r w:rsidR="00D911AF" w:rsidRPr="00D911AF">
        <w:rPr>
          <w:lang w:val="fr-FR"/>
        </w:rPr>
        <w:t>’</w:t>
      </w:r>
      <w:r w:rsidR="00315105" w:rsidRPr="00D911AF">
        <w:rPr>
          <w:lang w:val="fr-FR"/>
        </w:rPr>
        <w:t>article 1 du Protocole n</w:t>
      </w:r>
      <w:r w:rsidR="00315105" w:rsidRPr="00D911AF">
        <w:rPr>
          <w:vertAlign w:val="superscript"/>
          <w:lang w:val="fr-FR"/>
        </w:rPr>
        <w:t>o</w:t>
      </w:r>
      <w:r w:rsidR="00315105" w:rsidRPr="00D911AF">
        <w:rPr>
          <w:lang w:val="fr-FR"/>
        </w:rPr>
        <w:t xml:space="preserve"> 1 à la Convention, est toujours en vigueur. </w:t>
      </w:r>
      <w:r w:rsidR="00D506F3" w:rsidRPr="00D911AF">
        <w:rPr>
          <w:lang w:val="fr-FR"/>
        </w:rPr>
        <w:t xml:space="preserve">La Cour </w:t>
      </w:r>
      <w:r w:rsidR="001D1AE8" w:rsidRPr="00D911AF">
        <w:rPr>
          <w:lang w:val="fr-FR"/>
        </w:rPr>
        <w:t>rappelle qu</w:t>
      </w:r>
      <w:r w:rsidR="00D911AF" w:rsidRPr="00D911AF">
        <w:rPr>
          <w:lang w:val="fr-FR"/>
        </w:rPr>
        <w:t>’</w:t>
      </w:r>
      <w:r w:rsidR="001D1AE8" w:rsidRPr="00D911AF">
        <w:rPr>
          <w:lang w:val="fr-FR"/>
        </w:rPr>
        <w:t>en vertu de l</w:t>
      </w:r>
      <w:r w:rsidR="00D911AF" w:rsidRPr="00D911AF">
        <w:rPr>
          <w:lang w:val="fr-FR"/>
        </w:rPr>
        <w:t>’</w:t>
      </w:r>
      <w:r w:rsidR="001D1AE8" w:rsidRPr="00D911AF">
        <w:rPr>
          <w:lang w:val="fr-FR"/>
        </w:rPr>
        <w:t xml:space="preserve">article 46 §§ 1 et 2 de la Convention, </w:t>
      </w:r>
      <w:r w:rsidR="00163923" w:rsidRPr="00D911AF">
        <w:rPr>
          <w:lang w:val="fr-FR"/>
        </w:rPr>
        <w:t>dans le cadre de l</w:t>
      </w:r>
      <w:r w:rsidR="00D911AF" w:rsidRPr="00D911AF">
        <w:rPr>
          <w:lang w:val="fr-FR"/>
        </w:rPr>
        <w:t>’</w:t>
      </w:r>
      <w:r w:rsidR="00163923" w:rsidRPr="00D911AF">
        <w:rPr>
          <w:lang w:val="fr-FR"/>
        </w:rPr>
        <w:t>exécution de</w:t>
      </w:r>
      <w:r w:rsidR="00D0036E" w:rsidRPr="00D911AF">
        <w:rPr>
          <w:lang w:val="fr-FR"/>
        </w:rPr>
        <w:t xml:space="preserve"> ses</w:t>
      </w:r>
      <w:r w:rsidR="00163923" w:rsidRPr="00D911AF">
        <w:rPr>
          <w:lang w:val="fr-FR"/>
        </w:rPr>
        <w:t xml:space="preserve"> arrêts</w:t>
      </w:r>
      <w:r w:rsidR="00B653A5" w:rsidRPr="00D911AF">
        <w:rPr>
          <w:lang w:val="fr-FR"/>
        </w:rPr>
        <w:t>,</w:t>
      </w:r>
      <w:r w:rsidR="00163923" w:rsidRPr="00D911AF">
        <w:rPr>
          <w:lang w:val="fr-FR"/>
        </w:rPr>
        <w:t xml:space="preserve"> les États ont l</w:t>
      </w:r>
      <w:r w:rsidR="00D911AF" w:rsidRPr="00D911AF">
        <w:rPr>
          <w:lang w:val="fr-FR"/>
        </w:rPr>
        <w:t>’</w:t>
      </w:r>
      <w:r w:rsidR="00163923" w:rsidRPr="00D911AF">
        <w:rPr>
          <w:lang w:val="fr-FR"/>
        </w:rPr>
        <w:t xml:space="preserve">obligation </w:t>
      </w:r>
      <w:r w:rsidR="00956E76" w:rsidRPr="00D911AF">
        <w:rPr>
          <w:lang w:val="fr-FR"/>
        </w:rPr>
        <w:t>de mettre un terme à la violation</w:t>
      </w:r>
      <w:r w:rsidR="00C1256E" w:rsidRPr="00D911AF">
        <w:rPr>
          <w:lang w:val="fr-FR"/>
        </w:rPr>
        <w:t xml:space="preserve"> constatée</w:t>
      </w:r>
      <w:r w:rsidR="00577BD0" w:rsidRPr="00D911AF">
        <w:rPr>
          <w:lang w:val="fr-FR"/>
        </w:rPr>
        <w:t xml:space="preserve"> et </w:t>
      </w:r>
      <w:r w:rsidR="00956E76" w:rsidRPr="00D911AF">
        <w:rPr>
          <w:lang w:val="fr-FR"/>
        </w:rPr>
        <w:t>d</w:t>
      </w:r>
      <w:r w:rsidR="00D911AF" w:rsidRPr="00D911AF">
        <w:rPr>
          <w:lang w:val="fr-FR"/>
        </w:rPr>
        <w:t>’</w:t>
      </w:r>
      <w:r w:rsidR="00956E76" w:rsidRPr="00D911AF">
        <w:rPr>
          <w:lang w:val="fr-FR"/>
        </w:rPr>
        <w:t>en effacer les conséquences</w:t>
      </w:r>
      <w:r w:rsidR="00D16A8F" w:rsidRPr="00D911AF">
        <w:rPr>
          <w:lang w:val="fr-FR"/>
        </w:rPr>
        <w:t xml:space="preserve"> (</w:t>
      </w:r>
      <w:proofErr w:type="spellStart"/>
      <w:r w:rsidR="00384C62" w:rsidRPr="00D911AF">
        <w:rPr>
          <w:i/>
          <w:lang w:val="fr-FR"/>
        </w:rPr>
        <w:t>Iatridis</w:t>
      </w:r>
      <w:proofErr w:type="spellEnd"/>
      <w:r w:rsidR="00384C62" w:rsidRPr="00D911AF">
        <w:rPr>
          <w:i/>
          <w:lang w:val="fr-FR"/>
        </w:rPr>
        <w:t xml:space="preserve"> c. Grèce </w:t>
      </w:r>
      <w:r w:rsidR="00384C62" w:rsidRPr="00D911AF">
        <w:rPr>
          <w:lang w:val="fr-FR"/>
        </w:rPr>
        <w:t>(satisfaction équitable) [GC], n</w:t>
      </w:r>
      <w:r w:rsidR="00384C62" w:rsidRPr="00D911AF">
        <w:rPr>
          <w:vertAlign w:val="superscript"/>
          <w:lang w:val="fr-FR"/>
        </w:rPr>
        <w:t>o</w:t>
      </w:r>
      <w:r w:rsidR="00C1256E" w:rsidRPr="00D911AF">
        <w:rPr>
          <w:vertAlign w:val="superscript"/>
          <w:lang w:val="fr-FR"/>
        </w:rPr>
        <w:t> </w:t>
      </w:r>
      <w:r w:rsidR="005D6B44" w:rsidRPr="00D911AF">
        <w:rPr>
          <w:lang w:val="fr-FR"/>
        </w:rPr>
        <w:t>31107/96, § </w:t>
      </w:r>
      <w:r w:rsidR="00384C62" w:rsidRPr="00D911AF">
        <w:rPr>
          <w:lang w:val="fr-FR"/>
        </w:rPr>
        <w:t>32, CEDH 2000</w:t>
      </w:r>
      <w:r w:rsidR="00384C62" w:rsidRPr="00D911AF">
        <w:rPr>
          <w:lang w:val="fr-FR"/>
        </w:rPr>
        <w:noBreakHyphen/>
        <w:t>XI</w:t>
      </w:r>
      <w:r w:rsidR="009E4DD2" w:rsidRPr="00D911AF">
        <w:rPr>
          <w:lang w:val="fr-FR"/>
        </w:rPr>
        <w:t>)</w:t>
      </w:r>
      <w:r w:rsidR="00956E76" w:rsidRPr="00D911AF">
        <w:rPr>
          <w:lang w:val="fr-FR"/>
        </w:rPr>
        <w:t xml:space="preserve">. </w:t>
      </w:r>
      <w:proofErr w:type="gramStart"/>
      <w:r w:rsidR="00CC3F90" w:rsidRPr="00D911AF">
        <w:rPr>
          <w:lang w:val="fr-FR"/>
        </w:rPr>
        <w:t xml:space="preserve">Ainsi, </w:t>
      </w:r>
      <w:r w:rsidR="00D0036E" w:rsidRPr="00D911AF">
        <w:rPr>
          <w:lang w:val="fr-FR"/>
        </w:rPr>
        <w:t>en l</w:t>
      </w:r>
      <w:r w:rsidR="00D911AF" w:rsidRPr="00D911AF">
        <w:rPr>
          <w:lang w:val="fr-FR"/>
        </w:rPr>
        <w:t>’</w:t>
      </w:r>
      <w:r w:rsidR="00C1256E" w:rsidRPr="00D911AF">
        <w:rPr>
          <w:lang w:val="fr-FR"/>
        </w:rPr>
        <w:t>occurrence</w:t>
      </w:r>
      <w:r w:rsidR="00D0036E" w:rsidRPr="00D911AF">
        <w:rPr>
          <w:lang w:val="fr-FR"/>
        </w:rPr>
        <w:t xml:space="preserve">, </w:t>
      </w:r>
      <w:r w:rsidR="00D16A8F" w:rsidRPr="00D911AF">
        <w:rPr>
          <w:lang w:val="fr-FR"/>
        </w:rPr>
        <w:t>sans préjudice de la possibilité pour les requérants d</w:t>
      </w:r>
      <w:r w:rsidR="00CC1900" w:rsidRPr="00D911AF">
        <w:rPr>
          <w:lang w:val="fr-FR"/>
        </w:rPr>
        <w:t>e saisir</w:t>
      </w:r>
      <w:r w:rsidR="00F478D5" w:rsidRPr="00D911AF">
        <w:rPr>
          <w:lang w:val="fr-FR"/>
        </w:rPr>
        <w:t xml:space="preserve"> </w:t>
      </w:r>
      <w:r w:rsidR="00CC1900" w:rsidRPr="00D911AF">
        <w:rPr>
          <w:lang w:val="fr-FR"/>
        </w:rPr>
        <w:t>à nouveau la Cour</w:t>
      </w:r>
      <w:r w:rsidR="00D16A8F" w:rsidRPr="00D911AF">
        <w:rPr>
          <w:lang w:val="fr-FR"/>
        </w:rPr>
        <w:t xml:space="preserve"> </w:t>
      </w:r>
      <w:r w:rsidR="00CC1900" w:rsidRPr="00D911AF">
        <w:rPr>
          <w:lang w:val="fr-FR"/>
        </w:rPr>
        <w:t>pour se plaindre de</w:t>
      </w:r>
      <w:r w:rsidR="00F478D5" w:rsidRPr="00D911AF">
        <w:rPr>
          <w:lang w:val="fr-FR"/>
        </w:rPr>
        <w:t xml:space="preserve"> </w:t>
      </w:r>
      <w:r w:rsidR="00CC1900" w:rsidRPr="00D911AF">
        <w:rPr>
          <w:lang w:val="fr-FR"/>
        </w:rPr>
        <w:t xml:space="preserve">nouvelles </w:t>
      </w:r>
      <w:r w:rsidR="00F478D5" w:rsidRPr="00D911AF">
        <w:rPr>
          <w:lang w:val="fr-FR"/>
        </w:rPr>
        <w:t xml:space="preserve">violations </w:t>
      </w:r>
      <w:r w:rsidR="00CC1900" w:rsidRPr="00D911AF">
        <w:rPr>
          <w:lang w:val="fr-FR"/>
        </w:rPr>
        <w:t>de</w:t>
      </w:r>
      <w:r w:rsidR="00F478D5" w:rsidRPr="00D911AF">
        <w:rPr>
          <w:lang w:val="fr-FR"/>
        </w:rPr>
        <w:t xml:space="preserve"> leur droit de propriété </w:t>
      </w:r>
      <w:r w:rsidR="00CC1900" w:rsidRPr="00D911AF">
        <w:rPr>
          <w:lang w:val="fr-FR"/>
        </w:rPr>
        <w:t>en raison de l</w:t>
      </w:r>
      <w:r w:rsidR="00D911AF" w:rsidRPr="00D911AF">
        <w:rPr>
          <w:lang w:val="fr-FR"/>
        </w:rPr>
        <w:t>’</w:t>
      </w:r>
      <w:r w:rsidR="00CC1900" w:rsidRPr="00D911AF">
        <w:rPr>
          <w:lang w:val="fr-FR"/>
        </w:rPr>
        <w:t xml:space="preserve">application </w:t>
      </w:r>
      <w:r w:rsidR="00A229D8" w:rsidRPr="00D911AF">
        <w:rPr>
          <w:lang w:val="fr-FR"/>
        </w:rPr>
        <w:t xml:space="preserve">de la loi litigieuse </w:t>
      </w:r>
      <w:r w:rsidR="004F63CF" w:rsidRPr="00D911AF">
        <w:rPr>
          <w:lang w:val="fr-FR"/>
        </w:rPr>
        <w:t>après</w:t>
      </w:r>
      <w:r w:rsidR="00D94135" w:rsidRPr="00D911AF">
        <w:rPr>
          <w:lang w:val="fr-FR"/>
        </w:rPr>
        <w:t xml:space="preserve"> le </w:t>
      </w:r>
      <w:r w:rsidR="00984309" w:rsidRPr="00D911AF">
        <w:rPr>
          <w:lang w:val="fr-FR"/>
        </w:rPr>
        <w:t xml:space="preserve">15 avril 2014 </w:t>
      </w:r>
      <w:r w:rsidR="00D0036E" w:rsidRPr="00D911AF">
        <w:rPr>
          <w:lang w:val="fr-FR"/>
        </w:rPr>
        <w:t>–</w:t>
      </w:r>
      <w:r w:rsidR="00CC1900" w:rsidRPr="00D911AF">
        <w:rPr>
          <w:lang w:val="fr-FR"/>
        </w:rPr>
        <w:t xml:space="preserve"> date de la </w:t>
      </w:r>
      <w:r w:rsidR="00984309" w:rsidRPr="00D911AF">
        <w:rPr>
          <w:lang w:val="fr-FR"/>
        </w:rPr>
        <w:t>publication de l</w:t>
      </w:r>
      <w:r w:rsidR="00D911AF" w:rsidRPr="00D911AF">
        <w:rPr>
          <w:lang w:val="fr-FR"/>
        </w:rPr>
        <w:t>’</w:t>
      </w:r>
      <w:r w:rsidR="00984309" w:rsidRPr="00D911AF">
        <w:rPr>
          <w:lang w:val="fr-FR"/>
        </w:rPr>
        <w:t xml:space="preserve">arrêt au principal </w:t>
      </w:r>
      <w:r w:rsidR="00D0036E" w:rsidRPr="00D911AF">
        <w:rPr>
          <w:lang w:val="fr-FR"/>
        </w:rPr>
        <w:t>–</w:t>
      </w:r>
      <w:r w:rsidR="00CC1900" w:rsidRPr="00D911AF">
        <w:rPr>
          <w:lang w:val="fr-FR"/>
        </w:rPr>
        <w:t>,</w:t>
      </w:r>
      <w:r w:rsidR="00F478D5" w:rsidRPr="00D911AF">
        <w:rPr>
          <w:lang w:val="fr-FR"/>
        </w:rPr>
        <w:t xml:space="preserve"> </w:t>
      </w:r>
      <w:r w:rsidR="00B653A5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135F0D" w:rsidRPr="00D911AF">
        <w:rPr>
          <w:lang w:val="fr-FR"/>
        </w:rPr>
        <w:t>indemnisation du dommage</w:t>
      </w:r>
      <w:r w:rsidR="00B653A5" w:rsidRPr="00D911AF">
        <w:rPr>
          <w:lang w:val="fr-FR"/>
        </w:rPr>
        <w:t xml:space="preserve"> subi à partir de cette date devrait être tranché</w:t>
      </w:r>
      <w:r w:rsidR="00254FFC" w:rsidRPr="00D911AF">
        <w:rPr>
          <w:lang w:val="fr-FR"/>
        </w:rPr>
        <w:t>e</w:t>
      </w:r>
      <w:r w:rsidR="00956E76" w:rsidRPr="00D911AF">
        <w:rPr>
          <w:lang w:val="fr-FR"/>
        </w:rPr>
        <w:t xml:space="preserve">, dans le cadre de </w:t>
      </w:r>
      <w:r w:rsidR="00AE2228" w:rsidRPr="00D911AF">
        <w:rPr>
          <w:lang w:val="fr-FR"/>
        </w:rPr>
        <w:t xml:space="preserve">la procédure sur </w:t>
      </w:r>
      <w:r w:rsidR="00956E76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956E76" w:rsidRPr="00D911AF">
        <w:rPr>
          <w:lang w:val="fr-FR"/>
        </w:rPr>
        <w:t>exé</w:t>
      </w:r>
      <w:r w:rsidR="00AE2228" w:rsidRPr="00D911AF">
        <w:rPr>
          <w:lang w:val="fr-FR"/>
        </w:rPr>
        <w:t xml:space="preserve">cution du présent arrêt et de </w:t>
      </w:r>
      <w:r w:rsidR="00254FFC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254FFC" w:rsidRPr="00D911AF">
        <w:rPr>
          <w:lang w:val="fr-FR"/>
        </w:rPr>
        <w:t>arrêt</w:t>
      </w:r>
      <w:r w:rsidR="001A2A23" w:rsidRPr="00D911AF">
        <w:rPr>
          <w:lang w:val="fr-FR"/>
        </w:rPr>
        <w:t xml:space="preserve"> </w:t>
      </w:r>
      <w:r w:rsidR="00D16A8F" w:rsidRPr="00D911AF">
        <w:rPr>
          <w:lang w:val="fr-FR"/>
        </w:rPr>
        <w:t>au</w:t>
      </w:r>
      <w:r w:rsidR="00AE2228" w:rsidRPr="00D911AF">
        <w:rPr>
          <w:lang w:val="fr-FR"/>
        </w:rPr>
        <w:t xml:space="preserve"> principal</w:t>
      </w:r>
      <w:r w:rsidR="00956E76" w:rsidRPr="00D911AF">
        <w:rPr>
          <w:lang w:val="fr-FR"/>
        </w:rPr>
        <w:t>, par les autorités nationales (</w:t>
      </w:r>
      <w:r w:rsidR="001A2A23" w:rsidRPr="00D911AF">
        <w:rPr>
          <w:lang w:val="fr-FR"/>
        </w:rPr>
        <w:t xml:space="preserve">voir, </w:t>
      </w:r>
      <w:r w:rsidR="00956E76" w:rsidRPr="00D911AF">
        <w:rPr>
          <w:i/>
          <w:lang w:val="fr-FR"/>
        </w:rPr>
        <w:t>mutatis mutandis</w:t>
      </w:r>
      <w:r w:rsidR="00956E76" w:rsidRPr="00D911AF">
        <w:rPr>
          <w:lang w:val="fr-FR"/>
        </w:rPr>
        <w:t xml:space="preserve">, </w:t>
      </w:r>
      <w:proofErr w:type="spellStart"/>
      <w:r w:rsidR="00956E76" w:rsidRPr="00D911AF">
        <w:rPr>
          <w:i/>
          <w:lang w:val="fr-FR"/>
        </w:rPr>
        <w:t>Agrati</w:t>
      </w:r>
      <w:proofErr w:type="spellEnd"/>
      <w:r w:rsidR="00956E76" w:rsidRPr="00D911AF">
        <w:rPr>
          <w:i/>
          <w:lang w:val="fr-FR"/>
        </w:rPr>
        <w:t xml:space="preserve"> et autres</w:t>
      </w:r>
      <w:r w:rsidR="006824B8" w:rsidRPr="00D911AF">
        <w:rPr>
          <w:i/>
          <w:lang w:val="fr-FR"/>
        </w:rPr>
        <w:t xml:space="preserve"> </w:t>
      </w:r>
      <w:r w:rsidR="006824B8" w:rsidRPr="00D911AF">
        <w:rPr>
          <w:lang w:val="fr-FR"/>
        </w:rPr>
        <w:t>(satisfaction équitable)</w:t>
      </w:r>
      <w:r w:rsidR="00956E76" w:rsidRPr="00D911AF">
        <w:rPr>
          <w:lang w:val="fr-FR"/>
        </w:rPr>
        <w:t>, préc</w:t>
      </w:r>
      <w:r w:rsidR="001A2A23" w:rsidRPr="00D911AF">
        <w:rPr>
          <w:lang w:val="fr-FR"/>
        </w:rPr>
        <w:t>ité</w:t>
      </w:r>
      <w:r w:rsidR="00956E76" w:rsidRPr="00D911AF">
        <w:rPr>
          <w:lang w:val="fr-FR"/>
        </w:rPr>
        <w:t>, § 15</w:t>
      </w:r>
      <w:r w:rsidR="00636B57" w:rsidRPr="00D911AF">
        <w:rPr>
          <w:lang w:val="fr-FR"/>
        </w:rPr>
        <w:t xml:space="preserve"> ; </w:t>
      </w:r>
      <w:r w:rsidR="00D506F3" w:rsidRPr="00D911AF">
        <w:rPr>
          <w:lang w:val="fr-FR"/>
        </w:rPr>
        <w:t>voir également la résolution CM/</w:t>
      </w:r>
      <w:proofErr w:type="spellStart"/>
      <w:r w:rsidR="00D506F3" w:rsidRPr="00D911AF">
        <w:rPr>
          <w:lang w:val="fr-FR"/>
        </w:rPr>
        <w:t>ResDH</w:t>
      </w:r>
      <w:proofErr w:type="spellEnd"/>
      <w:r w:rsidR="00D506F3" w:rsidRPr="00D911AF">
        <w:rPr>
          <w:lang w:val="fr-FR"/>
        </w:rPr>
        <w:t xml:space="preserve"> (2013)91 adoptée</w:t>
      </w:r>
      <w:r w:rsidR="006E12CC" w:rsidRPr="00D911AF">
        <w:rPr>
          <w:lang w:val="fr-FR"/>
        </w:rPr>
        <w:t xml:space="preserve"> par le Comité des Ministres </w:t>
      </w:r>
      <w:r w:rsidR="00D911AF" w:rsidRPr="00D911AF">
        <w:rPr>
          <w:lang w:val="fr-FR"/>
        </w:rPr>
        <w:t>le 29 </w:t>
      </w:r>
      <w:r w:rsidR="00755741" w:rsidRPr="00D911AF">
        <w:rPr>
          <w:lang w:val="fr-FR"/>
        </w:rPr>
        <w:t>mai 2013</w:t>
      </w:r>
      <w:r w:rsidR="00E007AF" w:rsidRPr="00D911AF">
        <w:rPr>
          <w:lang w:val="fr-FR"/>
        </w:rPr>
        <w:t xml:space="preserve">, </w:t>
      </w:r>
      <w:r w:rsidR="00755741" w:rsidRPr="00D911AF">
        <w:rPr>
          <w:lang w:val="fr-FR"/>
        </w:rPr>
        <w:t>lors de la 1171</w:t>
      </w:r>
      <w:r w:rsidR="00A00E62" w:rsidRPr="00D911AF">
        <w:rPr>
          <w:vertAlign w:val="superscript"/>
          <w:lang w:val="fr-FR"/>
        </w:rPr>
        <w:t>e</w:t>
      </w:r>
      <w:r w:rsidR="00A00E62" w:rsidRPr="00D911AF">
        <w:rPr>
          <w:lang w:val="fr-FR"/>
        </w:rPr>
        <w:t xml:space="preserve"> réunion des Délégués des M</w:t>
      </w:r>
      <w:r w:rsidR="00D506F3" w:rsidRPr="00D911AF">
        <w:rPr>
          <w:lang w:val="fr-FR"/>
        </w:rPr>
        <w:t>inistres</w:t>
      </w:r>
      <w:r w:rsidR="00636B57" w:rsidRPr="00D911AF">
        <w:rPr>
          <w:lang w:val="fr-FR"/>
        </w:rPr>
        <w:t>,</w:t>
      </w:r>
      <w:r w:rsidR="00D506F3" w:rsidRPr="00D911AF">
        <w:rPr>
          <w:lang w:val="fr-FR"/>
        </w:rPr>
        <w:t xml:space="preserve"> et son annexe</w:t>
      </w:r>
      <w:r w:rsidR="006E12CC" w:rsidRPr="00D911AF">
        <w:rPr>
          <w:lang w:val="fr-FR"/>
        </w:rPr>
        <w:t xml:space="preserve"> dans l</w:t>
      </w:r>
      <w:r w:rsidR="00D911AF" w:rsidRPr="00D911AF">
        <w:rPr>
          <w:lang w:val="fr-FR"/>
        </w:rPr>
        <w:t>’</w:t>
      </w:r>
      <w:r w:rsidR="006E12CC" w:rsidRPr="00D911AF">
        <w:rPr>
          <w:lang w:val="fr-FR"/>
        </w:rPr>
        <w:t xml:space="preserve">affaire </w:t>
      </w:r>
      <w:proofErr w:type="spellStart"/>
      <w:r w:rsidR="006E12CC" w:rsidRPr="00D911AF">
        <w:rPr>
          <w:i/>
          <w:lang w:val="fr-FR"/>
        </w:rPr>
        <w:t>Lakićević</w:t>
      </w:r>
      <w:proofErr w:type="spellEnd"/>
      <w:r w:rsidR="006E12CC" w:rsidRPr="00D911AF">
        <w:rPr>
          <w:i/>
          <w:lang w:val="fr-FR"/>
        </w:rPr>
        <w:t xml:space="preserve"> et autres c. Mont</w:t>
      </w:r>
      <w:r w:rsidR="002D1921" w:rsidRPr="00D911AF">
        <w:rPr>
          <w:i/>
          <w:lang w:val="fr-FR"/>
        </w:rPr>
        <w:t>é</w:t>
      </w:r>
      <w:r w:rsidR="006E12CC" w:rsidRPr="00D911AF">
        <w:rPr>
          <w:i/>
          <w:lang w:val="fr-FR"/>
        </w:rPr>
        <w:t>n</w:t>
      </w:r>
      <w:r w:rsidR="002D1921" w:rsidRPr="00D911AF">
        <w:rPr>
          <w:i/>
          <w:lang w:val="fr-FR"/>
        </w:rPr>
        <w:t>é</w:t>
      </w:r>
      <w:r w:rsidR="006E12CC" w:rsidRPr="00D911AF">
        <w:rPr>
          <w:i/>
          <w:lang w:val="fr-FR"/>
        </w:rPr>
        <w:t>gro et Serbie</w:t>
      </w:r>
      <w:r w:rsidR="006E12CC" w:rsidRPr="00D911AF">
        <w:rPr>
          <w:lang w:val="fr-FR"/>
        </w:rPr>
        <w:t>, n</w:t>
      </w:r>
      <w:r w:rsidR="006E12CC" w:rsidRPr="00D911AF">
        <w:rPr>
          <w:vertAlign w:val="superscript"/>
          <w:lang w:val="fr-FR"/>
        </w:rPr>
        <w:t>os</w:t>
      </w:r>
      <w:r w:rsidR="00D911AF" w:rsidRPr="00D911AF">
        <w:rPr>
          <w:lang w:val="fr-FR"/>
        </w:rPr>
        <w:t> </w:t>
      </w:r>
      <w:r w:rsidR="006E12CC" w:rsidRPr="00D911AF">
        <w:rPr>
          <w:lang w:val="fr-FR"/>
        </w:rPr>
        <w:t>27458/06, 37205/06, 37207/06 et 33604/07, 13 décembre 201</w:t>
      </w:r>
      <w:r w:rsidR="007E2107" w:rsidRPr="00D911AF">
        <w:rPr>
          <w:lang w:val="fr-FR"/>
        </w:rPr>
        <w:t>1</w:t>
      </w:r>
      <w:r w:rsidR="00636B57" w:rsidRPr="00D911AF">
        <w:rPr>
          <w:lang w:val="fr-FR"/>
        </w:rPr>
        <w:t>, dans laquelle</w:t>
      </w:r>
      <w:r w:rsidR="006E12CC" w:rsidRPr="00D911AF">
        <w:rPr>
          <w:lang w:val="fr-FR"/>
        </w:rPr>
        <w:t xml:space="preserve"> le Comité des Ministres </w:t>
      </w:r>
      <w:r w:rsidR="00E007AF" w:rsidRPr="00D911AF">
        <w:rPr>
          <w:lang w:val="fr-FR"/>
        </w:rPr>
        <w:t xml:space="preserve">a pris </w:t>
      </w:r>
      <w:r w:rsidR="006E12CC" w:rsidRPr="00D911AF">
        <w:rPr>
          <w:lang w:val="fr-FR"/>
        </w:rPr>
        <w:t xml:space="preserve">acte du </w:t>
      </w:r>
      <w:r w:rsidR="00636B57" w:rsidRPr="00D911AF">
        <w:rPr>
          <w:lang w:val="fr-FR"/>
        </w:rPr>
        <w:t>rétablissement de</w:t>
      </w:r>
      <w:r w:rsidR="006E12CC" w:rsidRPr="00D911AF">
        <w:rPr>
          <w:lang w:val="fr-FR"/>
        </w:rPr>
        <w:t xml:space="preserve"> la protection des droits prévu</w:t>
      </w:r>
      <w:r w:rsidR="00E007AF" w:rsidRPr="00D911AF">
        <w:rPr>
          <w:lang w:val="fr-FR"/>
        </w:rPr>
        <w:t>e à</w:t>
      </w:r>
      <w:r w:rsidR="006E12CC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="006E12CC" w:rsidRPr="00D911AF">
        <w:rPr>
          <w:lang w:val="fr-FR"/>
        </w:rPr>
        <w:t>article 1 du Protocole n</w:t>
      </w:r>
      <w:r w:rsidR="00144EF8" w:rsidRPr="00D911AF">
        <w:rPr>
          <w:vertAlign w:val="superscript"/>
          <w:lang w:val="fr-FR"/>
        </w:rPr>
        <w:t>o</w:t>
      </w:r>
      <w:r w:rsidR="006E12CC" w:rsidRPr="00D911AF">
        <w:rPr>
          <w:lang w:val="fr-FR"/>
        </w:rPr>
        <w:t xml:space="preserve"> 1 </w:t>
      </w:r>
      <w:r w:rsidR="00636B57" w:rsidRPr="00D911AF">
        <w:rPr>
          <w:lang w:val="fr-FR"/>
        </w:rPr>
        <w:t>à la Convention</w:t>
      </w:r>
      <w:r w:rsidR="006E12CC" w:rsidRPr="00D911AF">
        <w:rPr>
          <w:lang w:val="fr-FR"/>
        </w:rPr>
        <w:t xml:space="preserve"> </w:t>
      </w:r>
      <w:r w:rsidR="00E007AF" w:rsidRPr="00D911AF">
        <w:rPr>
          <w:lang w:val="fr-FR"/>
        </w:rPr>
        <w:t>en raison de la modification de</w:t>
      </w:r>
      <w:r w:rsidR="006E12CC" w:rsidRPr="00D911AF">
        <w:rPr>
          <w:lang w:val="fr-FR"/>
        </w:rPr>
        <w:t xml:space="preserve"> la loi </w:t>
      </w:r>
      <w:r w:rsidR="00E007AF" w:rsidRPr="00D911AF">
        <w:rPr>
          <w:lang w:val="fr-FR"/>
        </w:rPr>
        <w:t>intervenue</w:t>
      </w:r>
      <w:r w:rsidR="006E12CC" w:rsidRPr="00D911AF">
        <w:rPr>
          <w:lang w:val="fr-FR"/>
        </w:rPr>
        <w:t xml:space="preserve"> entretemps</w:t>
      </w:r>
      <w:r w:rsidR="00956E76" w:rsidRPr="00D911AF">
        <w:rPr>
          <w:lang w:val="fr-FR"/>
        </w:rPr>
        <w:t>).</w:t>
      </w:r>
      <w:proofErr w:type="gramEnd"/>
    </w:p>
    <w:p w:rsidR="00D911AF" w:rsidRPr="00D911AF" w:rsidRDefault="00A00E62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21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9E209A" w:rsidRPr="00D911AF">
        <w:rPr>
          <w:lang w:val="fr-FR"/>
        </w:rPr>
        <w:t xml:space="preserve">Par conséquent, la Cour </w:t>
      </w:r>
      <w:r w:rsidR="00844B5A" w:rsidRPr="00D911AF">
        <w:rPr>
          <w:lang w:val="fr-FR"/>
        </w:rPr>
        <w:t>estime qu</w:t>
      </w:r>
      <w:r w:rsidR="00D911AF" w:rsidRPr="00D911AF">
        <w:rPr>
          <w:lang w:val="fr-FR"/>
        </w:rPr>
        <w:t>’</w:t>
      </w:r>
      <w:r w:rsidR="00844B5A" w:rsidRPr="00D911AF">
        <w:rPr>
          <w:lang w:val="fr-FR"/>
        </w:rPr>
        <w:t xml:space="preserve">il </w:t>
      </w:r>
      <w:r w:rsidR="00582FF0" w:rsidRPr="00D911AF">
        <w:rPr>
          <w:lang w:val="fr-FR"/>
        </w:rPr>
        <w:t xml:space="preserve">convient de </w:t>
      </w:r>
      <w:r w:rsidR="00E007AF" w:rsidRPr="00D911AF">
        <w:rPr>
          <w:lang w:val="fr-FR"/>
        </w:rPr>
        <w:t xml:space="preserve">prendre en </w:t>
      </w:r>
      <w:r w:rsidR="00582FF0" w:rsidRPr="00D911AF">
        <w:rPr>
          <w:lang w:val="fr-FR"/>
        </w:rPr>
        <w:t>considération</w:t>
      </w:r>
      <w:r w:rsidR="006B2E50" w:rsidRPr="00D911AF">
        <w:rPr>
          <w:lang w:val="fr-FR"/>
        </w:rPr>
        <w:t>, dans le cadre de</w:t>
      </w:r>
      <w:r w:rsidR="00077ABC" w:rsidRPr="00D911AF">
        <w:rPr>
          <w:lang w:val="fr-FR"/>
        </w:rPr>
        <w:t xml:space="preserve"> la</w:t>
      </w:r>
      <w:r w:rsidR="006B2E50" w:rsidRPr="00D911AF">
        <w:rPr>
          <w:lang w:val="fr-FR"/>
        </w:rPr>
        <w:t xml:space="preserve"> présente</w:t>
      </w:r>
      <w:r w:rsidR="00077ABC" w:rsidRPr="00D911AF">
        <w:rPr>
          <w:lang w:val="fr-FR"/>
        </w:rPr>
        <w:t xml:space="preserve"> affaire</w:t>
      </w:r>
      <w:r w:rsidR="006B2E50" w:rsidRPr="00D911AF">
        <w:rPr>
          <w:lang w:val="fr-FR"/>
        </w:rPr>
        <w:t>,</w:t>
      </w:r>
      <w:r w:rsidR="00844B5A" w:rsidRPr="00D911AF">
        <w:rPr>
          <w:lang w:val="fr-FR"/>
        </w:rPr>
        <w:t xml:space="preserve"> l</w:t>
      </w:r>
      <w:r w:rsidR="00B31688" w:rsidRPr="00D911AF">
        <w:rPr>
          <w:lang w:val="fr-FR"/>
        </w:rPr>
        <w:t xml:space="preserve">es </w:t>
      </w:r>
      <w:r w:rsidR="00844B5A" w:rsidRPr="00D911AF">
        <w:rPr>
          <w:lang w:val="fr-FR"/>
        </w:rPr>
        <w:t>arriéré</w:t>
      </w:r>
      <w:r w:rsidR="00B31688" w:rsidRPr="00D911AF">
        <w:rPr>
          <w:lang w:val="fr-FR"/>
        </w:rPr>
        <w:t>s</w:t>
      </w:r>
      <w:r w:rsidR="00844B5A" w:rsidRPr="00D911AF">
        <w:rPr>
          <w:lang w:val="fr-FR"/>
        </w:rPr>
        <w:t xml:space="preserve"> de pension </w:t>
      </w:r>
      <w:r w:rsidR="00B31688" w:rsidRPr="00D911AF">
        <w:rPr>
          <w:lang w:val="fr-FR"/>
        </w:rPr>
        <w:t xml:space="preserve">arrêtés </w:t>
      </w:r>
      <w:r w:rsidRPr="00D911AF">
        <w:rPr>
          <w:lang w:val="fr-FR"/>
        </w:rPr>
        <w:t>en</w:t>
      </w:r>
      <w:r w:rsidR="00844B5A" w:rsidRPr="00D911AF">
        <w:rPr>
          <w:lang w:val="fr-FR"/>
        </w:rPr>
        <w:t xml:space="preserve"> 201</w:t>
      </w:r>
      <w:r w:rsidR="00657258" w:rsidRPr="00D911AF">
        <w:rPr>
          <w:lang w:val="fr-FR"/>
        </w:rPr>
        <w:t>4</w:t>
      </w:r>
      <w:r w:rsidR="00844B5A" w:rsidRPr="00D911AF">
        <w:rPr>
          <w:lang w:val="fr-FR"/>
        </w:rPr>
        <w:t>.</w:t>
      </w:r>
    </w:p>
    <w:p w:rsidR="00D911AF" w:rsidRPr="00D911AF" w:rsidRDefault="00D40F0C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22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8545D9" w:rsidRPr="00D911AF">
        <w:rPr>
          <w:lang w:val="fr-FR"/>
        </w:rPr>
        <w:t xml:space="preserve">Pour ce qui est des critères utilisés par les parties afin de déterminer la différence entre les sommes que les requérants auraient </w:t>
      </w:r>
      <w:r w:rsidR="00FE28DF" w:rsidRPr="00D911AF">
        <w:rPr>
          <w:lang w:val="fr-FR"/>
        </w:rPr>
        <w:t>obtenu</w:t>
      </w:r>
      <w:r w:rsidR="008545D9" w:rsidRPr="00D911AF">
        <w:rPr>
          <w:lang w:val="fr-FR"/>
        </w:rPr>
        <w:t xml:space="preserve"> en l</w:t>
      </w:r>
      <w:r w:rsidR="00D911AF" w:rsidRPr="00D911AF">
        <w:rPr>
          <w:lang w:val="fr-FR"/>
        </w:rPr>
        <w:t>’</w:t>
      </w:r>
      <w:r w:rsidR="008545D9" w:rsidRPr="00D911AF">
        <w:rPr>
          <w:lang w:val="fr-FR"/>
        </w:rPr>
        <w:t>absence de l</w:t>
      </w:r>
      <w:r w:rsidR="00D911AF" w:rsidRPr="00D911AF">
        <w:rPr>
          <w:lang w:val="fr-FR"/>
        </w:rPr>
        <w:t>’</w:t>
      </w:r>
      <w:r w:rsidR="008545D9" w:rsidRPr="00D911AF">
        <w:rPr>
          <w:lang w:val="fr-FR"/>
        </w:rPr>
        <w:t>intervention de la loi litigieuse et celles effectivement perçues par eux, la Cour prend note de l</w:t>
      </w:r>
      <w:r w:rsidR="00D911AF" w:rsidRPr="00D911AF">
        <w:rPr>
          <w:lang w:val="fr-FR"/>
        </w:rPr>
        <w:t>’</w:t>
      </w:r>
      <w:r w:rsidR="008545D9" w:rsidRPr="00D911AF">
        <w:rPr>
          <w:lang w:val="fr-FR"/>
        </w:rPr>
        <w:t xml:space="preserve">observation du Gouvernement selon laquelle les sommes </w:t>
      </w:r>
      <w:r w:rsidR="00587D16" w:rsidRPr="00D911AF">
        <w:rPr>
          <w:lang w:val="fr-FR"/>
        </w:rPr>
        <w:t>demand</w:t>
      </w:r>
      <w:r w:rsidR="008545D9" w:rsidRPr="00D911AF">
        <w:rPr>
          <w:lang w:val="fr-FR"/>
        </w:rPr>
        <w:t xml:space="preserve">ées par les requérants </w:t>
      </w:r>
      <w:r w:rsidR="005A47E5" w:rsidRPr="00D911AF">
        <w:rPr>
          <w:lang w:val="fr-FR"/>
        </w:rPr>
        <w:t xml:space="preserve">prennent </w:t>
      </w:r>
      <w:r w:rsidR="0069054D" w:rsidRPr="00D911AF">
        <w:rPr>
          <w:lang w:val="fr-FR"/>
        </w:rPr>
        <w:t xml:space="preserve">également </w:t>
      </w:r>
      <w:r w:rsidR="005A47E5" w:rsidRPr="00D911AF">
        <w:rPr>
          <w:lang w:val="fr-FR"/>
        </w:rPr>
        <w:t xml:space="preserve">en compte des cotisations versées </w:t>
      </w:r>
      <w:r w:rsidR="0069054D" w:rsidRPr="00D911AF">
        <w:rPr>
          <w:lang w:val="fr-FR"/>
        </w:rPr>
        <w:t xml:space="preserve">à un titre autre que celui concernant les périodes de travail en Suisse. Les requérants </w:t>
      </w:r>
      <w:r w:rsidR="00587D16" w:rsidRPr="00D911AF">
        <w:rPr>
          <w:lang w:val="fr-FR"/>
        </w:rPr>
        <w:t>ne formulent aucune observation sur ce point.</w:t>
      </w:r>
      <w:r w:rsidR="00587D16" w:rsidRPr="00D911AF" w:rsidDel="00587D16">
        <w:rPr>
          <w:lang w:val="fr-FR"/>
        </w:rPr>
        <w:t xml:space="preserve"> </w:t>
      </w:r>
      <w:r w:rsidR="00587D16" w:rsidRPr="00D911AF">
        <w:rPr>
          <w:lang w:val="fr-FR"/>
        </w:rPr>
        <w:t xml:space="preserve">Partant, la Cour </w:t>
      </w:r>
      <w:r w:rsidR="009E209A" w:rsidRPr="00D911AF">
        <w:rPr>
          <w:lang w:val="fr-FR"/>
        </w:rPr>
        <w:t xml:space="preserve">décide de </w:t>
      </w:r>
      <w:r w:rsidR="00582FF0" w:rsidRPr="00D911AF">
        <w:rPr>
          <w:lang w:val="fr-FR"/>
        </w:rPr>
        <w:t>retenir</w:t>
      </w:r>
      <w:r w:rsidR="009E209A" w:rsidRPr="00D911AF">
        <w:rPr>
          <w:lang w:val="fr-FR"/>
        </w:rPr>
        <w:t xml:space="preserve"> comme bas</w:t>
      </w:r>
      <w:r w:rsidR="00934747" w:rsidRPr="00D911AF">
        <w:rPr>
          <w:lang w:val="fr-FR"/>
        </w:rPr>
        <w:t>e d</w:t>
      </w:r>
      <w:r w:rsidR="00D01BD0" w:rsidRPr="00D911AF">
        <w:rPr>
          <w:lang w:val="fr-FR"/>
        </w:rPr>
        <w:t>e</w:t>
      </w:r>
      <w:r w:rsidR="00934747" w:rsidRPr="00D911AF">
        <w:rPr>
          <w:lang w:val="fr-FR"/>
        </w:rPr>
        <w:t xml:space="preserve"> calcul du dommage matériel</w:t>
      </w:r>
      <w:r w:rsidR="004329E5" w:rsidRPr="00D911AF">
        <w:rPr>
          <w:lang w:val="fr-FR"/>
        </w:rPr>
        <w:t xml:space="preserve"> les montants indiqués par </w:t>
      </w:r>
      <w:r w:rsidR="00600EA0" w:rsidRPr="00D911AF">
        <w:rPr>
          <w:lang w:val="fr-FR"/>
        </w:rPr>
        <w:t xml:space="preserve">le Gouvernement </w:t>
      </w:r>
      <w:r w:rsidR="006B2E50" w:rsidRPr="00D911AF">
        <w:rPr>
          <w:lang w:val="fr-FR"/>
        </w:rPr>
        <w:t>(</w:t>
      </w:r>
      <w:r w:rsidR="003A6492" w:rsidRPr="00D911AF">
        <w:rPr>
          <w:lang w:val="fr-FR"/>
        </w:rPr>
        <w:t>figurant</w:t>
      </w:r>
      <w:r w:rsidR="004329E5" w:rsidRPr="00D911AF">
        <w:rPr>
          <w:lang w:val="fr-FR"/>
        </w:rPr>
        <w:t xml:space="preserve"> dans </w:t>
      </w:r>
      <w:r w:rsidR="00CC5E36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582FF0" w:rsidRPr="00D911AF">
        <w:rPr>
          <w:lang w:val="fr-FR"/>
        </w:rPr>
        <w:t>a</w:t>
      </w:r>
      <w:r w:rsidR="004329E5" w:rsidRPr="00D911AF">
        <w:rPr>
          <w:lang w:val="fr-FR"/>
        </w:rPr>
        <w:t>nnexe</w:t>
      </w:r>
      <w:r w:rsidR="006B2E50" w:rsidRPr="00D911AF">
        <w:rPr>
          <w:lang w:val="fr-FR"/>
        </w:rPr>
        <w:t xml:space="preserve"> </w:t>
      </w:r>
      <w:r w:rsidR="00A00E62" w:rsidRPr="00D911AF">
        <w:rPr>
          <w:lang w:val="fr-FR"/>
        </w:rPr>
        <w:t>III</w:t>
      </w:r>
      <w:r w:rsidR="006B2E50" w:rsidRPr="00D911AF">
        <w:rPr>
          <w:lang w:val="fr-FR"/>
        </w:rPr>
        <w:t>)</w:t>
      </w:r>
      <w:r w:rsidR="004329E5" w:rsidRPr="00D911AF">
        <w:rPr>
          <w:lang w:val="fr-FR"/>
        </w:rPr>
        <w:t>.</w:t>
      </w:r>
    </w:p>
    <w:p w:rsidR="00AB03F6" w:rsidRPr="00D911AF" w:rsidRDefault="00300871" w:rsidP="00D911AF">
      <w:pPr>
        <w:pStyle w:val="ECHRPara"/>
        <w:rPr>
          <w:lang w:val="fr-FR"/>
        </w:rPr>
      </w:pPr>
      <w:r w:rsidRPr="00D911AF">
        <w:rPr>
          <w:lang w:val="fr-FR"/>
        </w:rPr>
        <w:lastRenderedPageBreak/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23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AB03F6" w:rsidRPr="00D911AF">
        <w:rPr>
          <w:lang w:val="fr-FR"/>
        </w:rPr>
        <w:t>La Cour note, toutefois, que la période prise en compte par le Gouvernement afin de calculer les arriérés s</w:t>
      </w:r>
      <w:r w:rsidR="00D911AF" w:rsidRPr="00D911AF">
        <w:rPr>
          <w:lang w:val="fr-FR"/>
        </w:rPr>
        <w:t>’</w:t>
      </w:r>
      <w:r w:rsidR="00AB03F6" w:rsidRPr="00D911AF">
        <w:rPr>
          <w:lang w:val="fr-FR"/>
        </w:rPr>
        <w:t>arrête au</w:t>
      </w:r>
      <w:r w:rsidR="00A35722" w:rsidRPr="00D911AF">
        <w:rPr>
          <w:lang w:val="fr-FR"/>
        </w:rPr>
        <w:t xml:space="preserve"> 29 août</w:t>
      </w:r>
      <w:r w:rsidR="00AB03F6" w:rsidRPr="00D911AF">
        <w:rPr>
          <w:lang w:val="fr-FR"/>
        </w:rPr>
        <w:t xml:space="preserve"> 2012</w:t>
      </w:r>
      <w:r w:rsidR="00A41867" w:rsidRPr="00D911AF">
        <w:rPr>
          <w:lang w:val="fr-FR"/>
        </w:rPr>
        <w:t xml:space="preserve"> (paragraphe 9 ci-dessus)</w:t>
      </w:r>
      <w:r w:rsidR="00AB03F6" w:rsidRPr="00D911AF">
        <w:rPr>
          <w:lang w:val="fr-FR"/>
        </w:rPr>
        <w:t xml:space="preserve">. Par conséquent, </w:t>
      </w:r>
      <w:r w:rsidR="00B862D1" w:rsidRPr="00D911AF">
        <w:rPr>
          <w:lang w:val="fr-FR"/>
        </w:rPr>
        <w:t>p</w:t>
      </w:r>
      <w:r w:rsidR="00AB03F6" w:rsidRPr="00D911AF">
        <w:rPr>
          <w:lang w:val="fr-FR"/>
        </w:rPr>
        <w:t>our la période allant de cette date jusqu</w:t>
      </w:r>
      <w:r w:rsidR="00D911AF" w:rsidRPr="00D911AF">
        <w:rPr>
          <w:lang w:val="fr-FR"/>
        </w:rPr>
        <w:t>’</w:t>
      </w:r>
      <w:r w:rsidR="00AB03F6" w:rsidRPr="00D911AF">
        <w:rPr>
          <w:lang w:val="fr-FR"/>
        </w:rPr>
        <w:t xml:space="preserve">en 2014, la Cour estime </w:t>
      </w:r>
      <w:r w:rsidR="005C5D89" w:rsidRPr="00D911AF">
        <w:rPr>
          <w:lang w:val="fr-FR"/>
        </w:rPr>
        <w:t>qu</w:t>
      </w:r>
      <w:r w:rsidR="00D911AF" w:rsidRPr="00D911AF">
        <w:rPr>
          <w:lang w:val="fr-FR"/>
        </w:rPr>
        <w:t>’</w:t>
      </w:r>
      <w:r w:rsidR="005C5D89" w:rsidRPr="00D911AF">
        <w:rPr>
          <w:lang w:val="fr-FR"/>
        </w:rPr>
        <w:t>il y a lieu de</w:t>
      </w:r>
      <w:r w:rsidR="00AB03F6" w:rsidRPr="00D911AF">
        <w:rPr>
          <w:lang w:val="fr-FR"/>
        </w:rPr>
        <w:t xml:space="preserve"> prendre en compte comme base de calcul les sommes proposées par les requérants, ainsi qu</w:t>
      </w:r>
      <w:r w:rsidR="00D911AF" w:rsidRPr="00D911AF">
        <w:rPr>
          <w:lang w:val="fr-FR"/>
        </w:rPr>
        <w:t>’</w:t>
      </w:r>
      <w:r w:rsidR="00AB03F6" w:rsidRPr="00D911AF">
        <w:rPr>
          <w:lang w:val="fr-FR"/>
        </w:rPr>
        <w:t>elle l</w:t>
      </w:r>
      <w:r w:rsidR="00D911AF" w:rsidRPr="00D911AF">
        <w:rPr>
          <w:lang w:val="fr-FR"/>
        </w:rPr>
        <w:t>’</w:t>
      </w:r>
      <w:r w:rsidR="00AB03F6" w:rsidRPr="00D911AF">
        <w:rPr>
          <w:lang w:val="fr-FR"/>
        </w:rPr>
        <w:t xml:space="preserve">a fait dans les affaires </w:t>
      </w:r>
      <w:proofErr w:type="spellStart"/>
      <w:r w:rsidR="00AB03F6" w:rsidRPr="00D911AF">
        <w:rPr>
          <w:i/>
          <w:lang w:val="fr-FR"/>
        </w:rPr>
        <w:t>Cataldo</w:t>
      </w:r>
      <w:proofErr w:type="spellEnd"/>
      <w:r w:rsidR="00AB03F6" w:rsidRPr="00D911AF">
        <w:rPr>
          <w:lang w:val="fr-FR"/>
        </w:rPr>
        <w:t xml:space="preserve"> et </w:t>
      </w:r>
      <w:proofErr w:type="spellStart"/>
      <w:r w:rsidR="00AB03F6" w:rsidRPr="00D911AF">
        <w:rPr>
          <w:i/>
          <w:lang w:val="fr-FR"/>
        </w:rPr>
        <w:t>Biraghi</w:t>
      </w:r>
      <w:proofErr w:type="spellEnd"/>
      <w:r w:rsidR="00AB03F6" w:rsidRPr="00D911AF">
        <w:rPr>
          <w:lang w:val="fr-FR"/>
        </w:rPr>
        <w:t xml:space="preserve"> (précitées, §§ 66 et 52 respectivement</w:t>
      </w:r>
      <w:r w:rsidR="005D6B44" w:rsidRPr="00D911AF">
        <w:rPr>
          <w:lang w:val="fr-FR"/>
        </w:rPr>
        <w:t xml:space="preserve"> ; </w:t>
      </w:r>
      <w:r w:rsidR="00B862D1" w:rsidRPr="00D911AF">
        <w:rPr>
          <w:lang w:val="fr-FR"/>
        </w:rPr>
        <w:t>voir annexe IV</w:t>
      </w:r>
      <w:r w:rsidR="00AB03F6" w:rsidRPr="00D911AF">
        <w:rPr>
          <w:lang w:val="fr-FR"/>
        </w:rPr>
        <w:t>).</w:t>
      </w:r>
    </w:p>
    <w:p w:rsidR="00D911AF" w:rsidRPr="00D911AF" w:rsidRDefault="00A229D8" w:rsidP="00D911AF">
      <w:pPr>
        <w:pStyle w:val="ECHRHeading4"/>
        <w:rPr>
          <w:lang w:val="fr-FR"/>
        </w:rPr>
      </w:pPr>
      <w:r w:rsidRPr="00D911AF">
        <w:rPr>
          <w:lang w:val="fr-FR"/>
        </w:rPr>
        <w:t>b</w:t>
      </w:r>
      <w:r w:rsidR="00F97626" w:rsidRPr="00D911AF">
        <w:rPr>
          <w:lang w:val="fr-FR"/>
        </w:rPr>
        <w:t>)  </w:t>
      </w:r>
      <w:r w:rsidR="002432DE" w:rsidRPr="00D911AF">
        <w:rPr>
          <w:lang w:val="fr-FR"/>
        </w:rPr>
        <w:t>Sur la d</w:t>
      </w:r>
      <w:r w:rsidRPr="00D911AF">
        <w:rPr>
          <w:lang w:val="fr-FR"/>
        </w:rPr>
        <w:t>étermination du préjudice à dédommager sur le total d</w:t>
      </w:r>
      <w:r w:rsidR="00D01BD0" w:rsidRPr="00D911AF">
        <w:rPr>
          <w:lang w:val="fr-FR"/>
        </w:rPr>
        <w:t>u montant</w:t>
      </w:r>
      <w:r w:rsidRPr="00D911AF">
        <w:rPr>
          <w:lang w:val="fr-FR"/>
        </w:rPr>
        <w:t xml:space="preserve"> qu</w:t>
      </w:r>
      <w:r w:rsidR="00A00E62" w:rsidRPr="00D911AF">
        <w:rPr>
          <w:lang w:val="fr-FR"/>
        </w:rPr>
        <w:t>e les requérants</w:t>
      </w:r>
      <w:r w:rsidRPr="00D911AF">
        <w:rPr>
          <w:lang w:val="fr-FR"/>
        </w:rPr>
        <w:t xml:space="preserve"> auraient dû percevoir en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absence de </w:t>
      </w:r>
      <w:r w:rsidR="00D01BD0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D01BD0" w:rsidRPr="00D911AF">
        <w:rPr>
          <w:lang w:val="fr-FR"/>
        </w:rPr>
        <w:t xml:space="preserve">adoption de </w:t>
      </w:r>
      <w:r w:rsidRPr="00D911AF">
        <w:rPr>
          <w:lang w:val="fr-FR"/>
        </w:rPr>
        <w:t>la loi</w:t>
      </w:r>
      <w:r w:rsidR="003A6492" w:rsidRPr="00D911AF">
        <w:rPr>
          <w:lang w:val="fr-FR"/>
        </w:rPr>
        <w:t xml:space="preserve"> eu égard à</w:t>
      </w:r>
      <w:r w:rsidRPr="00D911AF">
        <w:rPr>
          <w:lang w:val="fr-FR"/>
        </w:rPr>
        <w:t xml:space="preserve"> la violation de</w:t>
      </w:r>
      <w:r w:rsidR="00D01BD0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article 6 de la Convention et </w:t>
      </w:r>
      <w:r w:rsidR="00D01BD0" w:rsidRPr="00D911AF">
        <w:rPr>
          <w:lang w:val="fr-FR"/>
        </w:rPr>
        <w:t>de l</w:t>
      </w:r>
      <w:r w:rsidR="00D911AF" w:rsidRPr="00D911AF">
        <w:rPr>
          <w:lang w:val="fr-FR"/>
        </w:rPr>
        <w:t>’</w:t>
      </w:r>
      <w:r w:rsidR="00D01BD0" w:rsidRPr="00D911AF">
        <w:rPr>
          <w:lang w:val="fr-FR"/>
        </w:rPr>
        <w:t>article </w:t>
      </w:r>
      <w:r w:rsidRPr="00D911AF">
        <w:rPr>
          <w:lang w:val="fr-FR"/>
        </w:rPr>
        <w:t>1 du Protocole n</w:t>
      </w:r>
      <w:r w:rsidR="00144EF8" w:rsidRPr="00D911AF">
        <w:rPr>
          <w:vertAlign w:val="superscript"/>
          <w:lang w:val="fr-FR"/>
        </w:rPr>
        <w:t>o</w:t>
      </w:r>
      <w:r w:rsidRPr="00D911AF">
        <w:rPr>
          <w:lang w:val="fr-FR"/>
        </w:rPr>
        <w:t>1</w:t>
      </w:r>
      <w:r w:rsidR="00D01BD0" w:rsidRPr="00D911AF">
        <w:rPr>
          <w:lang w:val="fr-FR"/>
        </w:rPr>
        <w:t xml:space="preserve"> à la Convention</w:t>
      </w:r>
    </w:p>
    <w:p w:rsidR="00CC3F90" w:rsidRPr="00D911AF" w:rsidRDefault="00CC3F90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24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S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agissant de l</w:t>
      </w:r>
      <w:r w:rsidR="00A00E62" w:rsidRPr="00D911AF">
        <w:rPr>
          <w:lang w:val="fr-FR"/>
        </w:rPr>
        <w:t xml:space="preserve">a thèse </w:t>
      </w:r>
      <w:r w:rsidRPr="00D911AF">
        <w:rPr>
          <w:lang w:val="fr-FR"/>
        </w:rPr>
        <w:t xml:space="preserve">du Gouvernement </w:t>
      </w:r>
      <w:r w:rsidR="00AE2228" w:rsidRPr="00D911AF">
        <w:rPr>
          <w:lang w:val="fr-FR"/>
        </w:rPr>
        <w:t>selon</w:t>
      </w:r>
      <w:r w:rsidRPr="00D911AF">
        <w:rPr>
          <w:lang w:val="fr-FR"/>
        </w:rPr>
        <w:t xml:space="preserve"> laquelle le préjudice </w:t>
      </w:r>
      <w:r w:rsidR="001A344B" w:rsidRPr="00D911AF">
        <w:rPr>
          <w:lang w:val="fr-FR"/>
        </w:rPr>
        <w:t>subi</w:t>
      </w:r>
      <w:r w:rsidRPr="00D911AF">
        <w:rPr>
          <w:lang w:val="fr-FR"/>
        </w:rPr>
        <w:t xml:space="preserve"> </w:t>
      </w:r>
      <w:r w:rsidR="001A344B" w:rsidRPr="00D911AF">
        <w:rPr>
          <w:lang w:val="fr-FR"/>
        </w:rPr>
        <w:t>en l</w:t>
      </w:r>
      <w:r w:rsidR="00D911AF" w:rsidRPr="00D911AF">
        <w:rPr>
          <w:lang w:val="fr-FR"/>
        </w:rPr>
        <w:t>’</w:t>
      </w:r>
      <w:r w:rsidR="003113A5" w:rsidRPr="00D911AF">
        <w:rPr>
          <w:lang w:val="fr-FR"/>
        </w:rPr>
        <w:t>occurrence</w:t>
      </w:r>
      <w:r w:rsidR="001A344B" w:rsidRPr="00D911AF">
        <w:rPr>
          <w:lang w:val="fr-FR"/>
        </w:rPr>
        <w:t xml:space="preserve"> </w:t>
      </w:r>
      <w:r w:rsidRPr="00D911AF">
        <w:rPr>
          <w:lang w:val="fr-FR"/>
        </w:rPr>
        <w:t xml:space="preserve">doit </w:t>
      </w:r>
      <w:r w:rsidR="00A00E62" w:rsidRPr="00D911AF">
        <w:rPr>
          <w:lang w:val="fr-FR"/>
        </w:rPr>
        <w:t>être considéré comme</w:t>
      </w:r>
      <w:r w:rsidR="00D911AF" w:rsidRPr="00D911AF">
        <w:rPr>
          <w:lang w:val="fr-FR"/>
        </w:rPr>
        <w:t xml:space="preserve"> </w:t>
      </w:r>
      <w:r w:rsidR="00A00E62" w:rsidRPr="00D911AF">
        <w:rPr>
          <w:lang w:val="fr-FR"/>
        </w:rPr>
        <w:t xml:space="preserve">une </w:t>
      </w:r>
      <w:r w:rsidRPr="00D911AF">
        <w:rPr>
          <w:lang w:val="fr-FR"/>
        </w:rPr>
        <w:t>« perte de</w:t>
      </w:r>
      <w:r w:rsidR="00AE2228" w:rsidRPr="00D911AF">
        <w:rPr>
          <w:lang w:val="fr-FR"/>
        </w:rPr>
        <w:t xml:space="preserve"> </w:t>
      </w:r>
      <w:r w:rsidRPr="00D911AF">
        <w:rPr>
          <w:lang w:val="fr-FR"/>
        </w:rPr>
        <w:t>chance</w:t>
      </w:r>
      <w:r w:rsidR="00AE2228" w:rsidRPr="00D911AF">
        <w:rPr>
          <w:lang w:val="fr-FR"/>
        </w:rPr>
        <w:t> »</w:t>
      </w:r>
      <w:r w:rsidRPr="00D911AF">
        <w:rPr>
          <w:lang w:val="fr-FR"/>
        </w:rPr>
        <w:t xml:space="preserve">, la Cour </w:t>
      </w:r>
      <w:r w:rsidR="00872E54" w:rsidRPr="00D911AF">
        <w:rPr>
          <w:lang w:val="fr-FR"/>
        </w:rPr>
        <w:t>souligne</w:t>
      </w:r>
      <w:r w:rsidRPr="00D911AF">
        <w:rPr>
          <w:lang w:val="fr-FR"/>
        </w:rPr>
        <w:t xml:space="preserve"> que</w:t>
      </w:r>
      <w:r w:rsidR="00AE2228" w:rsidRPr="00D911AF">
        <w:rPr>
          <w:lang w:val="fr-FR"/>
        </w:rPr>
        <w:t>,</w:t>
      </w:r>
      <w:r w:rsidRPr="00D911AF">
        <w:rPr>
          <w:lang w:val="fr-FR"/>
        </w:rPr>
        <w:t xml:space="preserve"> contrairement aux </w:t>
      </w:r>
      <w:r w:rsidR="001A344B" w:rsidRPr="00D911AF">
        <w:rPr>
          <w:lang w:val="fr-FR"/>
        </w:rPr>
        <w:t xml:space="preserve">requérants des </w:t>
      </w:r>
      <w:r w:rsidRPr="00D911AF">
        <w:rPr>
          <w:lang w:val="fr-FR"/>
        </w:rPr>
        <w:t xml:space="preserve">affaires </w:t>
      </w:r>
      <w:proofErr w:type="spellStart"/>
      <w:r w:rsidRPr="00D911AF">
        <w:rPr>
          <w:i/>
          <w:lang w:val="fr-FR"/>
        </w:rPr>
        <w:t>Cataldo</w:t>
      </w:r>
      <w:proofErr w:type="spellEnd"/>
      <w:r w:rsidRPr="00D911AF">
        <w:rPr>
          <w:lang w:val="fr-FR"/>
        </w:rPr>
        <w:t xml:space="preserve"> et </w:t>
      </w:r>
      <w:proofErr w:type="spellStart"/>
      <w:r w:rsidRPr="00D911AF">
        <w:rPr>
          <w:i/>
          <w:lang w:val="fr-FR"/>
        </w:rPr>
        <w:t>Biraghi</w:t>
      </w:r>
      <w:proofErr w:type="spellEnd"/>
      <w:r w:rsidRPr="00D911AF">
        <w:rPr>
          <w:lang w:val="fr-FR"/>
        </w:rPr>
        <w:t xml:space="preserve"> </w:t>
      </w:r>
      <w:r w:rsidR="001A344B" w:rsidRPr="00D911AF">
        <w:rPr>
          <w:lang w:val="fr-FR"/>
        </w:rPr>
        <w:t>(</w:t>
      </w:r>
      <w:r w:rsidRPr="00D911AF">
        <w:rPr>
          <w:lang w:val="fr-FR"/>
        </w:rPr>
        <w:t>précitées</w:t>
      </w:r>
      <w:r w:rsidR="001A344B" w:rsidRPr="00D911AF">
        <w:rPr>
          <w:lang w:val="fr-FR"/>
        </w:rPr>
        <w:t>)</w:t>
      </w:r>
      <w:r w:rsidRPr="00D911AF">
        <w:rPr>
          <w:lang w:val="fr-FR"/>
        </w:rPr>
        <w:t xml:space="preserve">, les intéressés ont subi une atteinte à leur droit au respect de leurs biens qui a </w:t>
      </w:r>
      <w:r w:rsidR="004C02B2" w:rsidRPr="00D911AF">
        <w:rPr>
          <w:lang w:val="fr-FR"/>
        </w:rPr>
        <w:t>emporté</w:t>
      </w:r>
      <w:r w:rsidRPr="00D911AF">
        <w:rPr>
          <w:lang w:val="fr-FR"/>
        </w:rPr>
        <w:t xml:space="preserve"> non seulement </w:t>
      </w:r>
      <w:r w:rsidR="009D4EFF" w:rsidRPr="00D911AF">
        <w:rPr>
          <w:lang w:val="fr-FR"/>
        </w:rPr>
        <w:t>violation</w:t>
      </w:r>
      <w:r w:rsidRPr="00D911AF">
        <w:rPr>
          <w:lang w:val="fr-FR"/>
        </w:rPr>
        <w:t xml:space="preserve">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article 6 § 1 </w:t>
      </w:r>
      <w:r w:rsidR="004C02B2" w:rsidRPr="00D911AF">
        <w:rPr>
          <w:lang w:val="fr-FR"/>
        </w:rPr>
        <w:t xml:space="preserve">de la Convention, </w:t>
      </w:r>
      <w:r w:rsidRPr="00D911AF">
        <w:rPr>
          <w:lang w:val="fr-FR"/>
        </w:rPr>
        <w:t>mais également</w:t>
      </w:r>
      <w:r w:rsidR="009D4EFF" w:rsidRPr="00D911AF">
        <w:rPr>
          <w:lang w:val="fr-FR"/>
        </w:rPr>
        <w:t xml:space="preserve"> celle de l</w:t>
      </w:r>
      <w:r w:rsidR="00D911AF" w:rsidRPr="00D911AF">
        <w:rPr>
          <w:lang w:val="fr-FR"/>
        </w:rPr>
        <w:t>’</w:t>
      </w:r>
      <w:r w:rsidR="009D4EFF" w:rsidRPr="00D911AF">
        <w:rPr>
          <w:lang w:val="fr-FR"/>
        </w:rPr>
        <w:t>article 1 du Protocole n</w:t>
      </w:r>
      <w:r w:rsidR="00144EF8" w:rsidRPr="00D911AF">
        <w:rPr>
          <w:vertAlign w:val="superscript"/>
          <w:lang w:val="fr-FR"/>
        </w:rPr>
        <w:t>o</w:t>
      </w:r>
      <w:r w:rsidR="009D4EFF" w:rsidRPr="00D911AF">
        <w:rPr>
          <w:lang w:val="fr-FR"/>
        </w:rPr>
        <w:t xml:space="preserve"> 1</w:t>
      </w:r>
      <w:r w:rsidRPr="00D911AF">
        <w:rPr>
          <w:lang w:val="fr-FR"/>
        </w:rPr>
        <w:t xml:space="preserve">. </w:t>
      </w:r>
      <w:r w:rsidR="004F63CF" w:rsidRPr="00D911AF">
        <w:rPr>
          <w:lang w:val="fr-FR"/>
        </w:rPr>
        <w:t xml:space="preserve">Pour les mêmes raisons </w:t>
      </w:r>
      <w:r w:rsidR="004C02B2" w:rsidRPr="00D911AF">
        <w:rPr>
          <w:lang w:val="fr-FR"/>
        </w:rPr>
        <w:t xml:space="preserve">que celles </w:t>
      </w:r>
      <w:r w:rsidR="00143667" w:rsidRPr="00D911AF">
        <w:rPr>
          <w:lang w:val="fr-FR"/>
        </w:rPr>
        <w:t>exposées au paragraphe 15</w:t>
      </w:r>
      <w:r w:rsidR="004F63CF" w:rsidRPr="00D911AF">
        <w:rPr>
          <w:lang w:val="fr-FR"/>
        </w:rPr>
        <w:t xml:space="preserve"> ci-dessus, </w:t>
      </w:r>
      <w:r w:rsidR="004C02B2" w:rsidRPr="00D911AF">
        <w:rPr>
          <w:lang w:val="fr-FR"/>
        </w:rPr>
        <w:t>elle</w:t>
      </w:r>
      <w:r w:rsidR="004F63CF" w:rsidRPr="00D911AF">
        <w:rPr>
          <w:lang w:val="fr-FR"/>
        </w:rPr>
        <w:t xml:space="preserve"> estime que l</w:t>
      </w:r>
      <w:r w:rsidR="00A00E62" w:rsidRPr="00D911AF">
        <w:rPr>
          <w:lang w:val="fr-FR"/>
        </w:rPr>
        <w:t xml:space="preserve">es </w:t>
      </w:r>
      <w:r w:rsidR="004F63CF" w:rsidRPr="00D911AF">
        <w:rPr>
          <w:lang w:val="fr-FR"/>
        </w:rPr>
        <w:t>violation</w:t>
      </w:r>
      <w:r w:rsidR="00A00E62" w:rsidRPr="00D911AF">
        <w:rPr>
          <w:lang w:val="fr-FR"/>
        </w:rPr>
        <w:t>s</w:t>
      </w:r>
      <w:r w:rsidR="004F63CF" w:rsidRPr="00D911AF">
        <w:rPr>
          <w:lang w:val="fr-FR"/>
        </w:rPr>
        <w:t xml:space="preserve"> de la Convention constatée</w:t>
      </w:r>
      <w:r w:rsidR="00A00E62" w:rsidRPr="00D911AF">
        <w:rPr>
          <w:lang w:val="fr-FR"/>
        </w:rPr>
        <w:t>s dans l</w:t>
      </w:r>
      <w:r w:rsidR="00D911AF" w:rsidRPr="00D911AF">
        <w:rPr>
          <w:lang w:val="fr-FR"/>
        </w:rPr>
        <w:t>’</w:t>
      </w:r>
      <w:r w:rsidR="00A00E62" w:rsidRPr="00D911AF">
        <w:rPr>
          <w:lang w:val="fr-FR"/>
        </w:rPr>
        <w:t>arrêt au principal</w:t>
      </w:r>
      <w:r w:rsidR="004F63CF" w:rsidRPr="00D911AF">
        <w:rPr>
          <w:lang w:val="fr-FR"/>
        </w:rPr>
        <w:t xml:space="preserve"> </w:t>
      </w:r>
      <w:r w:rsidR="004C02B2" w:rsidRPr="00D911AF">
        <w:rPr>
          <w:lang w:val="fr-FR"/>
        </w:rPr>
        <w:t>ont</w:t>
      </w:r>
      <w:r w:rsidR="004F63CF" w:rsidRPr="00D911AF">
        <w:rPr>
          <w:lang w:val="fr-FR"/>
        </w:rPr>
        <w:t xml:space="preserve"> causé aux requérants un dommage matériel qui </w:t>
      </w:r>
      <w:r w:rsidRPr="00D911AF">
        <w:rPr>
          <w:lang w:val="fr-FR"/>
        </w:rPr>
        <w:t xml:space="preserve">va au-delà de la simple </w:t>
      </w:r>
      <w:r w:rsidR="006B6176" w:rsidRPr="00D911AF">
        <w:rPr>
          <w:lang w:val="fr-FR"/>
        </w:rPr>
        <w:t>« </w:t>
      </w:r>
      <w:r w:rsidRPr="00D911AF">
        <w:rPr>
          <w:lang w:val="fr-FR"/>
        </w:rPr>
        <w:t>perte de chance</w:t>
      </w:r>
      <w:r w:rsidR="006B6176" w:rsidRPr="00D911AF">
        <w:rPr>
          <w:lang w:val="fr-FR"/>
        </w:rPr>
        <w:t> »</w:t>
      </w:r>
      <w:r w:rsidRPr="00D911AF">
        <w:rPr>
          <w:lang w:val="fr-FR"/>
        </w:rPr>
        <w:t>.</w:t>
      </w:r>
    </w:p>
    <w:p w:rsidR="00CC3F90" w:rsidRPr="00D911AF" w:rsidRDefault="00A41D81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25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A32F41" w:rsidRPr="00D911AF">
        <w:rPr>
          <w:lang w:val="fr-FR"/>
        </w:rPr>
        <w:t>De même, l</w:t>
      </w:r>
      <w:r w:rsidR="00955602" w:rsidRPr="00D911AF">
        <w:rPr>
          <w:lang w:val="fr-FR"/>
        </w:rPr>
        <w:t>a Cour rejet</w:t>
      </w:r>
      <w:r w:rsidR="00A00E62" w:rsidRPr="00D911AF">
        <w:rPr>
          <w:lang w:val="fr-FR"/>
        </w:rPr>
        <w:t>te</w:t>
      </w:r>
      <w:r w:rsidR="00955602" w:rsidRPr="00D911AF">
        <w:rPr>
          <w:lang w:val="fr-FR"/>
        </w:rPr>
        <w:t xml:space="preserve"> </w:t>
      </w:r>
      <w:r w:rsidR="00802BD5" w:rsidRPr="00D911AF">
        <w:rPr>
          <w:lang w:val="fr-FR"/>
        </w:rPr>
        <w:t>l</w:t>
      </w:r>
      <w:r w:rsidR="00D911AF" w:rsidRPr="00D911AF">
        <w:rPr>
          <w:lang w:val="fr-FR"/>
        </w:rPr>
        <w:t>’</w:t>
      </w:r>
      <w:r w:rsidR="00802BD5" w:rsidRPr="00D911AF">
        <w:rPr>
          <w:lang w:val="fr-FR"/>
        </w:rPr>
        <w:t xml:space="preserve">argument avancé par les requérants selon lequel </w:t>
      </w:r>
      <w:r w:rsidR="009D4EFF" w:rsidRPr="00D911AF">
        <w:rPr>
          <w:lang w:val="fr-FR"/>
        </w:rPr>
        <w:t xml:space="preserve">le préjudice matériel </w:t>
      </w:r>
      <w:r w:rsidR="00802BD5" w:rsidRPr="00D911AF">
        <w:rPr>
          <w:lang w:val="fr-FR"/>
        </w:rPr>
        <w:t xml:space="preserve">devrait </w:t>
      </w:r>
      <w:r w:rsidR="00A00E62" w:rsidRPr="00D911AF">
        <w:rPr>
          <w:lang w:val="fr-FR"/>
        </w:rPr>
        <w:t>être</w:t>
      </w:r>
      <w:r w:rsidR="00802BD5" w:rsidRPr="00D911AF">
        <w:rPr>
          <w:lang w:val="fr-FR"/>
        </w:rPr>
        <w:t xml:space="preserve"> calcul</w:t>
      </w:r>
      <w:r w:rsidR="00A00E62" w:rsidRPr="00D911AF">
        <w:rPr>
          <w:lang w:val="fr-FR"/>
        </w:rPr>
        <w:t>é</w:t>
      </w:r>
      <w:r w:rsidR="00802BD5" w:rsidRPr="00D911AF">
        <w:rPr>
          <w:lang w:val="fr-FR"/>
        </w:rPr>
        <w:t xml:space="preserve"> </w:t>
      </w:r>
      <w:r w:rsidR="00193E30" w:rsidRPr="00D911AF">
        <w:rPr>
          <w:lang w:val="fr-FR"/>
        </w:rPr>
        <w:t>sur la base de</w:t>
      </w:r>
      <w:r w:rsidR="009D4EFF" w:rsidRPr="00D911AF">
        <w:rPr>
          <w:lang w:val="fr-FR"/>
        </w:rPr>
        <w:t xml:space="preserve"> la différence </w:t>
      </w:r>
      <w:r w:rsidR="00A32F41" w:rsidRPr="00D911AF">
        <w:rPr>
          <w:lang w:val="fr-FR"/>
        </w:rPr>
        <w:t xml:space="preserve">de montant </w:t>
      </w:r>
      <w:r w:rsidR="009D4EFF" w:rsidRPr="00D911AF">
        <w:rPr>
          <w:lang w:val="fr-FR"/>
        </w:rPr>
        <w:t>entre l</w:t>
      </w:r>
      <w:r w:rsidR="003A6C89" w:rsidRPr="00D911AF">
        <w:rPr>
          <w:lang w:val="fr-FR"/>
        </w:rPr>
        <w:t>es</w:t>
      </w:r>
      <w:r w:rsidR="009D4EFF" w:rsidRPr="00D911AF">
        <w:rPr>
          <w:lang w:val="fr-FR"/>
        </w:rPr>
        <w:t xml:space="preserve"> </w:t>
      </w:r>
      <w:r w:rsidR="00A00E62" w:rsidRPr="00D911AF">
        <w:rPr>
          <w:lang w:val="fr-FR"/>
        </w:rPr>
        <w:t>pension</w:t>
      </w:r>
      <w:r w:rsidR="003A6C89" w:rsidRPr="00D911AF">
        <w:rPr>
          <w:lang w:val="fr-FR"/>
        </w:rPr>
        <w:t>s</w:t>
      </w:r>
      <w:r w:rsidR="009D4EFF" w:rsidRPr="00D911AF">
        <w:rPr>
          <w:lang w:val="fr-FR"/>
        </w:rPr>
        <w:t xml:space="preserve"> qu</w:t>
      </w:r>
      <w:r w:rsidR="00D911AF" w:rsidRPr="00D911AF">
        <w:rPr>
          <w:lang w:val="fr-FR"/>
        </w:rPr>
        <w:t>’</w:t>
      </w:r>
      <w:r w:rsidR="00A00E62" w:rsidRPr="00D911AF">
        <w:rPr>
          <w:lang w:val="fr-FR"/>
        </w:rPr>
        <w:t>ils auraient dû obtenir en l</w:t>
      </w:r>
      <w:r w:rsidR="00D911AF" w:rsidRPr="00D911AF">
        <w:rPr>
          <w:lang w:val="fr-FR"/>
        </w:rPr>
        <w:t>’</w:t>
      </w:r>
      <w:r w:rsidR="00A00E62" w:rsidRPr="00D911AF">
        <w:rPr>
          <w:lang w:val="fr-FR"/>
        </w:rPr>
        <w:t>absence de l</w:t>
      </w:r>
      <w:r w:rsidR="00D911AF" w:rsidRPr="00D911AF">
        <w:rPr>
          <w:lang w:val="fr-FR"/>
        </w:rPr>
        <w:t>’</w:t>
      </w:r>
      <w:r w:rsidR="00A00E62" w:rsidRPr="00D911AF">
        <w:rPr>
          <w:lang w:val="fr-FR"/>
        </w:rPr>
        <w:t>intervention législative litigieuse et celle</w:t>
      </w:r>
      <w:r w:rsidR="003A6C89" w:rsidRPr="00D911AF">
        <w:rPr>
          <w:lang w:val="fr-FR"/>
        </w:rPr>
        <w:t>s</w:t>
      </w:r>
      <w:r w:rsidR="00A00E62" w:rsidRPr="00D911AF">
        <w:rPr>
          <w:lang w:val="fr-FR"/>
        </w:rPr>
        <w:t xml:space="preserve"> </w:t>
      </w:r>
      <w:r w:rsidR="009D4EFF" w:rsidRPr="00D911AF">
        <w:rPr>
          <w:lang w:val="fr-FR"/>
        </w:rPr>
        <w:t>effecti</w:t>
      </w:r>
      <w:r w:rsidR="00C83601" w:rsidRPr="00D911AF">
        <w:rPr>
          <w:lang w:val="fr-FR"/>
        </w:rPr>
        <w:t>vement</w:t>
      </w:r>
      <w:r w:rsidR="00A32F41" w:rsidRPr="00D911AF">
        <w:rPr>
          <w:lang w:val="fr-FR"/>
        </w:rPr>
        <w:t xml:space="preserve"> perçue</w:t>
      </w:r>
      <w:r w:rsidR="003A6C89" w:rsidRPr="00D911AF">
        <w:rPr>
          <w:lang w:val="fr-FR"/>
        </w:rPr>
        <w:t>s</w:t>
      </w:r>
      <w:r w:rsidR="00077ABC" w:rsidRPr="00D911AF">
        <w:rPr>
          <w:lang w:val="fr-FR"/>
        </w:rPr>
        <w:t xml:space="preserve"> par eux</w:t>
      </w:r>
      <w:r w:rsidR="009D4EFF" w:rsidRPr="00D911AF">
        <w:rPr>
          <w:lang w:val="fr-FR"/>
        </w:rPr>
        <w:t>.</w:t>
      </w:r>
    </w:p>
    <w:p w:rsidR="00144EF8" w:rsidRPr="00D911AF" w:rsidRDefault="006A1A5E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26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955602" w:rsidRPr="00D911AF">
        <w:rPr>
          <w:lang w:val="fr-FR"/>
        </w:rPr>
        <w:t>À cet égard, elle</w:t>
      </w:r>
      <w:r w:rsidR="00057A6D" w:rsidRPr="00D911AF">
        <w:rPr>
          <w:lang w:val="fr-FR"/>
        </w:rPr>
        <w:t xml:space="preserve"> rappelle </w:t>
      </w:r>
      <w:r w:rsidR="00955602" w:rsidRPr="00D911AF">
        <w:rPr>
          <w:lang w:val="fr-FR"/>
        </w:rPr>
        <w:t>que</w:t>
      </w:r>
      <w:r w:rsidR="00B31688" w:rsidRPr="00D911AF">
        <w:rPr>
          <w:lang w:val="fr-FR"/>
        </w:rPr>
        <w:t>,</w:t>
      </w:r>
      <w:r w:rsidR="00955602" w:rsidRPr="00D911AF">
        <w:rPr>
          <w:lang w:val="fr-FR"/>
        </w:rPr>
        <w:t xml:space="preserve"> dans l</w:t>
      </w:r>
      <w:r w:rsidR="00E25320" w:rsidRPr="00D911AF">
        <w:rPr>
          <w:lang w:val="fr-FR"/>
        </w:rPr>
        <w:t>a</w:t>
      </w:r>
      <w:r w:rsidR="00955602" w:rsidRPr="00D911AF">
        <w:rPr>
          <w:lang w:val="fr-FR"/>
        </w:rPr>
        <w:t xml:space="preserve"> présente</w:t>
      </w:r>
      <w:r w:rsidR="00E25320" w:rsidRPr="00D911AF">
        <w:rPr>
          <w:lang w:val="fr-FR"/>
        </w:rPr>
        <w:t xml:space="preserve"> affaire</w:t>
      </w:r>
      <w:r w:rsidR="00955602" w:rsidRPr="00D911AF">
        <w:rPr>
          <w:lang w:val="fr-FR"/>
        </w:rPr>
        <w:t xml:space="preserve">, </w:t>
      </w:r>
      <w:r w:rsidR="00057A6D" w:rsidRPr="00D911AF">
        <w:rPr>
          <w:lang w:val="fr-FR"/>
        </w:rPr>
        <w:t>l</w:t>
      </w:r>
      <w:r w:rsidR="00FF3427" w:rsidRPr="00D911AF">
        <w:rPr>
          <w:lang w:val="fr-FR"/>
        </w:rPr>
        <w:t>e</w:t>
      </w:r>
      <w:r w:rsidR="00057A6D" w:rsidRPr="00D911AF">
        <w:rPr>
          <w:lang w:val="fr-FR"/>
        </w:rPr>
        <w:t>s</w:t>
      </w:r>
      <w:r w:rsidR="00FF3427" w:rsidRPr="00D911AF">
        <w:rPr>
          <w:lang w:val="fr-FR"/>
        </w:rPr>
        <w:t xml:space="preserve"> requérant</w:t>
      </w:r>
      <w:r w:rsidR="00057A6D" w:rsidRPr="00D911AF">
        <w:rPr>
          <w:lang w:val="fr-FR"/>
        </w:rPr>
        <w:t>s</w:t>
      </w:r>
      <w:r w:rsidR="00955602" w:rsidRPr="00D911AF">
        <w:rPr>
          <w:lang w:val="fr-FR"/>
        </w:rPr>
        <w:t xml:space="preserve"> ont</w:t>
      </w:r>
      <w:r w:rsidR="00FF3427" w:rsidRPr="00D911AF">
        <w:rPr>
          <w:lang w:val="fr-FR"/>
        </w:rPr>
        <w:t xml:space="preserve"> été amené</w:t>
      </w:r>
      <w:r w:rsidR="00955602" w:rsidRPr="00D911AF">
        <w:rPr>
          <w:lang w:val="fr-FR"/>
        </w:rPr>
        <w:t>s</w:t>
      </w:r>
      <w:r w:rsidR="00FF3427" w:rsidRPr="00D911AF">
        <w:rPr>
          <w:lang w:val="fr-FR"/>
        </w:rPr>
        <w:t xml:space="preserve"> à supporter une charge excessive et disproportionnée qui ne saurait se justifier par </w:t>
      </w:r>
      <w:r w:rsidR="00A00E62" w:rsidRPr="00D911AF">
        <w:rPr>
          <w:lang w:val="fr-FR"/>
        </w:rPr>
        <w:t>la défense d</w:t>
      </w:r>
      <w:r w:rsidR="00FF3427" w:rsidRPr="00D911AF">
        <w:rPr>
          <w:lang w:val="fr-FR"/>
        </w:rPr>
        <w:t>es intérêts légitimes de la collectiv</w:t>
      </w:r>
      <w:r w:rsidR="00955602" w:rsidRPr="00D911AF">
        <w:rPr>
          <w:lang w:val="fr-FR"/>
        </w:rPr>
        <w:t xml:space="preserve">ité </w:t>
      </w:r>
      <w:r w:rsidR="00300871" w:rsidRPr="00D911AF">
        <w:rPr>
          <w:lang w:val="fr-FR"/>
        </w:rPr>
        <w:t>en raison de la réduction de plus de la moitié de leur pension (paragraphe 66 de l</w:t>
      </w:r>
      <w:r w:rsidR="00D911AF" w:rsidRPr="00D911AF">
        <w:rPr>
          <w:lang w:val="fr-FR"/>
        </w:rPr>
        <w:t>’</w:t>
      </w:r>
      <w:r w:rsidR="00300871" w:rsidRPr="00D911AF">
        <w:rPr>
          <w:lang w:val="fr-FR"/>
        </w:rPr>
        <w:t xml:space="preserve">arrêt au principal). La conclusion de la Cour aurait été différente </w:t>
      </w:r>
      <w:r w:rsidR="00B31688" w:rsidRPr="00D911AF">
        <w:rPr>
          <w:lang w:val="fr-FR"/>
        </w:rPr>
        <w:t>s</w:t>
      </w:r>
      <w:r w:rsidR="00D911AF" w:rsidRPr="00D911AF">
        <w:rPr>
          <w:lang w:val="fr-FR"/>
        </w:rPr>
        <w:t>’</w:t>
      </w:r>
      <w:r w:rsidR="00B31688" w:rsidRPr="00D911AF">
        <w:rPr>
          <w:lang w:val="fr-FR"/>
        </w:rPr>
        <w:t>ils</w:t>
      </w:r>
      <w:r w:rsidR="00FF3427" w:rsidRPr="00D911AF">
        <w:rPr>
          <w:lang w:val="fr-FR"/>
        </w:rPr>
        <w:t xml:space="preserve"> avai</w:t>
      </w:r>
      <w:r w:rsidR="00057A6D" w:rsidRPr="00D911AF">
        <w:rPr>
          <w:lang w:val="fr-FR"/>
        </w:rPr>
        <w:t>en</w:t>
      </w:r>
      <w:r w:rsidR="00FF3427" w:rsidRPr="00D911AF">
        <w:rPr>
          <w:lang w:val="fr-FR"/>
        </w:rPr>
        <w:t>t eu à subir une réduction ra</w:t>
      </w:r>
      <w:r w:rsidR="00A00E62" w:rsidRPr="00D911AF">
        <w:rPr>
          <w:lang w:val="fr-FR"/>
        </w:rPr>
        <w:t xml:space="preserve">isonnable et proportionnée </w:t>
      </w:r>
      <w:r w:rsidR="00273C4A" w:rsidRPr="00D911AF">
        <w:rPr>
          <w:lang w:val="fr-FR"/>
        </w:rPr>
        <w:t xml:space="preserve">de </w:t>
      </w:r>
      <w:r w:rsidR="00A00E62" w:rsidRPr="00D911AF">
        <w:rPr>
          <w:lang w:val="fr-FR"/>
        </w:rPr>
        <w:t>leur</w:t>
      </w:r>
      <w:r w:rsidR="00FF3427" w:rsidRPr="00D911AF">
        <w:rPr>
          <w:lang w:val="fr-FR"/>
        </w:rPr>
        <w:t>s droits</w:t>
      </w:r>
      <w:r w:rsidR="001B1648" w:rsidRPr="00D911AF">
        <w:rPr>
          <w:lang w:val="fr-FR"/>
        </w:rPr>
        <w:t xml:space="preserve"> (paragraphes 58 et 59 de l</w:t>
      </w:r>
      <w:r w:rsidR="00D911AF" w:rsidRPr="00D911AF">
        <w:rPr>
          <w:lang w:val="fr-FR"/>
        </w:rPr>
        <w:t>’</w:t>
      </w:r>
      <w:r w:rsidR="001B1648" w:rsidRPr="00D911AF">
        <w:rPr>
          <w:lang w:val="fr-FR"/>
        </w:rPr>
        <w:t>arrêt au principal)</w:t>
      </w:r>
      <w:r w:rsidR="00FF3427" w:rsidRPr="00D911AF">
        <w:rPr>
          <w:lang w:val="fr-FR"/>
        </w:rPr>
        <w:t>.</w:t>
      </w:r>
    </w:p>
    <w:p w:rsidR="009D4EFF" w:rsidRPr="00D911AF" w:rsidRDefault="00A00E62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27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0054BB" w:rsidRPr="00D911AF">
        <w:rPr>
          <w:lang w:val="fr-FR"/>
        </w:rPr>
        <w:t>La</w:t>
      </w:r>
      <w:r w:rsidR="009D4EFF" w:rsidRPr="00D911AF">
        <w:rPr>
          <w:lang w:val="fr-FR"/>
        </w:rPr>
        <w:t xml:space="preserve"> Cour </w:t>
      </w:r>
      <w:r w:rsidR="00163527" w:rsidRPr="00D911AF">
        <w:rPr>
          <w:lang w:val="fr-FR"/>
        </w:rPr>
        <w:t xml:space="preserve">a </w:t>
      </w:r>
      <w:r w:rsidR="00BA5CC6" w:rsidRPr="00D911AF">
        <w:rPr>
          <w:lang w:val="fr-FR"/>
        </w:rPr>
        <w:t xml:space="preserve">ainsi déjà </w:t>
      </w:r>
      <w:r w:rsidR="009D4EFF" w:rsidRPr="00D911AF">
        <w:rPr>
          <w:lang w:val="fr-FR"/>
        </w:rPr>
        <w:t>estim</w:t>
      </w:r>
      <w:r w:rsidR="00BA5CC6" w:rsidRPr="00D911AF">
        <w:rPr>
          <w:lang w:val="fr-FR"/>
        </w:rPr>
        <w:t>é qu</w:t>
      </w:r>
      <w:r w:rsidR="00D911AF" w:rsidRPr="00D911AF">
        <w:rPr>
          <w:lang w:val="fr-FR"/>
        </w:rPr>
        <w:t>’</w:t>
      </w:r>
      <w:r w:rsidR="00BA5CC6" w:rsidRPr="00D911AF">
        <w:rPr>
          <w:lang w:val="fr-FR"/>
        </w:rPr>
        <w:t>une réduction</w:t>
      </w:r>
      <w:r w:rsidR="000054BB" w:rsidRPr="00D911AF">
        <w:rPr>
          <w:lang w:val="fr-FR"/>
        </w:rPr>
        <w:t xml:space="preserve"> </w:t>
      </w:r>
      <w:r w:rsidR="009D4EFF" w:rsidRPr="00D911AF">
        <w:rPr>
          <w:lang w:val="fr-FR"/>
        </w:rPr>
        <w:t>d</w:t>
      </w:r>
      <w:r w:rsidR="00C83601" w:rsidRPr="00D911AF">
        <w:rPr>
          <w:lang w:val="fr-FR"/>
        </w:rPr>
        <w:t xml:space="preserve">e moins de </w:t>
      </w:r>
      <w:r w:rsidR="007904D4" w:rsidRPr="00D911AF">
        <w:rPr>
          <w:lang w:val="fr-FR"/>
        </w:rPr>
        <w:t xml:space="preserve">la moitié </w:t>
      </w:r>
      <w:r w:rsidRPr="00D911AF">
        <w:rPr>
          <w:lang w:val="fr-FR"/>
        </w:rPr>
        <w:t>de</w:t>
      </w:r>
      <w:r w:rsidR="00B53AE0" w:rsidRPr="00D911AF">
        <w:rPr>
          <w:lang w:val="fr-FR"/>
        </w:rPr>
        <w:t>s</w:t>
      </w:r>
      <w:r w:rsidR="007904D4" w:rsidRPr="00D911AF">
        <w:rPr>
          <w:lang w:val="fr-FR"/>
        </w:rPr>
        <w:t xml:space="preserve"> pension</w:t>
      </w:r>
      <w:r w:rsidR="00B53AE0" w:rsidRPr="00D911AF">
        <w:rPr>
          <w:lang w:val="fr-FR"/>
        </w:rPr>
        <w:t>s</w:t>
      </w:r>
      <w:r w:rsidR="009D4EFF" w:rsidRPr="00D911AF">
        <w:rPr>
          <w:lang w:val="fr-FR"/>
        </w:rPr>
        <w:t xml:space="preserve"> </w:t>
      </w:r>
      <w:r w:rsidR="007904D4" w:rsidRPr="00D911AF">
        <w:rPr>
          <w:lang w:val="fr-FR"/>
        </w:rPr>
        <w:t>des requérants</w:t>
      </w:r>
      <w:r w:rsidR="00BA5CC6" w:rsidRPr="00D911AF">
        <w:rPr>
          <w:lang w:val="fr-FR"/>
        </w:rPr>
        <w:t xml:space="preserve"> n</w:t>
      </w:r>
      <w:r w:rsidR="00D911AF" w:rsidRPr="00D911AF">
        <w:rPr>
          <w:lang w:val="fr-FR"/>
        </w:rPr>
        <w:t>’</w:t>
      </w:r>
      <w:r w:rsidR="00BA5CC6" w:rsidRPr="00D911AF">
        <w:rPr>
          <w:lang w:val="fr-FR"/>
        </w:rPr>
        <w:t>était pas déraisonnable (</w:t>
      </w:r>
      <w:proofErr w:type="spellStart"/>
      <w:r w:rsidR="005D6B44" w:rsidRPr="00D911AF">
        <w:rPr>
          <w:i/>
          <w:lang w:val="fr-FR"/>
        </w:rPr>
        <w:t>Maggio</w:t>
      </w:r>
      <w:proofErr w:type="spellEnd"/>
      <w:r w:rsidR="005D6B44" w:rsidRPr="00D911AF">
        <w:rPr>
          <w:i/>
          <w:lang w:val="fr-FR"/>
        </w:rPr>
        <w:t xml:space="preserve"> et autres c. </w:t>
      </w:r>
      <w:r w:rsidR="00BA5CC6" w:rsidRPr="00D911AF">
        <w:rPr>
          <w:i/>
          <w:lang w:val="fr-FR"/>
        </w:rPr>
        <w:t>Italie</w:t>
      </w:r>
      <w:r w:rsidR="00BA5CC6" w:rsidRPr="00D911AF">
        <w:rPr>
          <w:lang w:val="fr-FR"/>
        </w:rPr>
        <w:t xml:space="preserve">, </w:t>
      </w:r>
      <w:r w:rsidR="004F0021" w:rsidRPr="00D911AF">
        <w:rPr>
          <w:lang w:val="fr-FR"/>
        </w:rPr>
        <w:t>n</w:t>
      </w:r>
      <w:r w:rsidR="004F0021" w:rsidRPr="00D911AF">
        <w:rPr>
          <w:vertAlign w:val="superscript"/>
          <w:lang w:val="fr-FR"/>
        </w:rPr>
        <w:t>os</w:t>
      </w:r>
      <w:r w:rsidR="004F0021" w:rsidRPr="00D911AF">
        <w:rPr>
          <w:lang w:val="fr-FR"/>
        </w:rPr>
        <w:t xml:space="preserve"> 46286/09, 52851/08, 53727/08, 54486/08 et 56001/08</w:t>
      </w:r>
      <w:r w:rsidR="005D6B44" w:rsidRPr="00D911AF">
        <w:rPr>
          <w:snapToGrid w:val="0"/>
          <w:szCs w:val="24"/>
          <w:lang w:val="fr-FR"/>
        </w:rPr>
        <w:t>, 31 </w:t>
      </w:r>
      <w:r w:rsidR="004F0021" w:rsidRPr="00D911AF">
        <w:rPr>
          <w:szCs w:val="24"/>
          <w:lang w:val="fr-FR"/>
        </w:rPr>
        <w:t>mai</w:t>
      </w:r>
      <w:r w:rsidR="00D911AF" w:rsidRPr="00D911AF">
        <w:rPr>
          <w:snapToGrid w:val="0"/>
          <w:szCs w:val="24"/>
          <w:lang w:val="fr-FR"/>
        </w:rPr>
        <w:t xml:space="preserve"> </w:t>
      </w:r>
      <w:r w:rsidR="004F0021" w:rsidRPr="00D911AF">
        <w:rPr>
          <w:snapToGrid w:val="0"/>
          <w:szCs w:val="24"/>
          <w:lang w:val="fr-FR"/>
        </w:rPr>
        <w:t xml:space="preserve">2011, </w:t>
      </w:r>
      <w:r w:rsidR="00F867EE" w:rsidRPr="00D911AF">
        <w:rPr>
          <w:rFonts w:ascii="Times New Roman" w:hAnsi="Times New Roman"/>
          <w:bCs/>
          <w:snapToGrid w:val="0"/>
          <w:szCs w:val="24"/>
          <w:lang w:val="fr-FR" w:eastAsia="en-GB"/>
        </w:rPr>
        <w:t>§ 62,</w:t>
      </w:r>
      <w:r w:rsidR="00F867EE" w:rsidRPr="00D911AF">
        <w:rPr>
          <w:rFonts w:ascii="Times New Roman" w:hAnsi="Times New Roman"/>
          <w:b/>
          <w:bCs/>
          <w:snapToGrid w:val="0"/>
          <w:szCs w:val="24"/>
          <w:lang w:val="fr-FR" w:eastAsia="en-GB"/>
        </w:rPr>
        <w:t xml:space="preserve"> </w:t>
      </w:r>
      <w:proofErr w:type="spellStart"/>
      <w:r w:rsidR="004F0021" w:rsidRPr="00D911AF">
        <w:rPr>
          <w:i/>
          <w:lang w:val="fr-FR"/>
        </w:rPr>
        <w:t>Cataldo</w:t>
      </w:r>
      <w:proofErr w:type="spellEnd"/>
      <w:r w:rsidR="004F0021" w:rsidRPr="00D911AF">
        <w:rPr>
          <w:lang w:val="fr-FR"/>
        </w:rPr>
        <w:t xml:space="preserve"> et </w:t>
      </w:r>
      <w:proofErr w:type="spellStart"/>
      <w:r w:rsidR="004F0021" w:rsidRPr="00D911AF">
        <w:rPr>
          <w:i/>
          <w:lang w:val="fr-FR"/>
        </w:rPr>
        <w:t>Biraghi</w:t>
      </w:r>
      <w:proofErr w:type="spellEnd"/>
      <w:r w:rsidR="00BA5CC6" w:rsidRPr="00D911AF">
        <w:rPr>
          <w:i/>
          <w:lang w:val="fr-FR"/>
        </w:rPr>
        <w:t xml:space="preserve">, </w:t>
      </w:r>
      <w:r w:rsidR="004F0021" w:rsidRPr="00D911AF">
        <w:rPr>
          <w:lang w:val="fr-FR"/>
        </w:rPr>
        <w:t>précitées</w:t>
      </w:r>
      <w:r w:rsidR="00163527" w:rsidRPr="00D911AF">
        <w:rPr>
          <w:lang w:val="fr-FR"/>
        </w:rPr>
        <w:t xml:space="preserve"> ; voir également </w:t>
      </w:r>
      <w:proofErr w:type="spellStart"/>
      <w:r w:rsidR="005D6B44" w:rsidRPr="00D911AF">
        <w:rPr>
          <w:i/>
          <w:lang w:val="fr-FR"/>
        </w:rPr>
        <w:t>Cichopek</w:t>
      </w:r>
      <w:proofErr w:type="spellEnd"/>
      <w:r w:rsidR="005D6B44" w:rsidRPr="00D911AF">
        <w:rPr>
          <w:i/>
          <w:lang w:val="fr-FR"/>
        </w:rPr>
        <w:t xml:space="preserve"> c. </w:t>
      </w:r>
      <w:r w:rsidR="00315105" w:rsidRPr="00D911AF">
        <w:rPr>
          <w:i/>
          <w:lang w:val="fr-FR"/>
        </w:rPr>
        <w:t>Pologne et 1627 autres requêtes</w:t>
      </w:r>
      <w:r w:rsidR="00315105" w:rsidRPr="00D911AF">
        <w:rPr>
          <w:lang w:val="fr-FR"/>
        </w:rPr>
        <w:t xml:space="preserve"> (déc.), n</w:t>
      </w:r>
      <w:r w:rsidR="00315105" w:rsidRPr="00D911AF">
        <w:rPr>
          <w:vertAlign w:val="superscript"/>
          <w:lang w:val="fr-FR"/>
        </w:rPr>
        <w:t>o</w:t>
      </w:r>
      <w:r w:rsidR="00315105" w:rsidRPr="00D911AF">
        <w:rPr>
          <w:lang w:val="fr-FR"/>
        </w:rPr>
        <w:t xml:space="preserve"> 15189/10, 14 mai 2013, § 152)</w:t>
      </w:r>
      <w:r w:rsidR="00BA5CC6" w:rsidRPr="00D911AF">
        <w:rPr>
          <w:lang w:val="fr-FR"/>
        </w:rPr>
        <w:t>.</w:t>
      </w:r>
      <w:r w:rsidR="00315105" w:rsidRPr="00D911AF">
        <w:rPr>
          <w:lang w:val="fr-FR"/>
        </w:rPr>
        <w:t xml:space="preserve"> </w:t>
      </w:r>
      <w:r w:rsidR="00BA5CC6" w:rsidRPr="00D911AF">
        <w:rPr>
          <w:lang w:val="fr-FR"/>
        </w:rPr>
        <w:t>Elle a par ailleurs estimé qu</w:t>
      </w:r>
      <w:r w:rsidR="00D911AF" w:rsidRPr="00D911AF">
        <w:rPr>
          <w:lang w:val="fr-FR"/>
        </w:rPr>
        <w:t>’</w:t>
      </w:r>
      <w:r w:rsidR="00BA5CC6" w:rsidRPr="00D911AF">
        <w:rPr>
          <w:lang w:val="fr-FR"/>
        </w:rPr>
        <w:t xml:space="preserve">il ne serait pas justifié </w:t>
      </w:r>
      <w:r w:rsidRPr="00D911AF">
        <w:rPr>
          <w:lang w:val="fr-FR"/>
        </w:rPr>
        <w:t>d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accorder</w:t>
      </w:r>
      <w:r w:rsidR="009D4EFF" w:rsidRPr="00D911AF">
        <w:rPr>
          <w:lang w:val="fr-FR"/>
        </w:rPr>
        <w:t xml:space="preserve"> l</w:t>
      </w:r>
      <w:r w:rsidR="00D911AF" w:rsidRPr="00D911AF">
        <w:rPr>
          <w:lang w:val="fr-FR"/>
        </w:rPr>
        <w:t>’</w:t>
      </w:r>
      <w:r w:rsidR="00777191" w:rsidRPr="00D911AF">
        <w:rPr>
          <w:lang w:val="fr-FR"/>
        </w:rPr>
        <w:t>intégralité</w:t>
      </w:r>
      <w:r w:rsidR="007904D4" w:rsidRPr="00D911AF">
        <w:rPr>
          <w:lang w:val="fr-FR"/>
        </w:rPr>
        <w:t xml:space="preserve"> </w:t>
      </w:r>
      <w:r w:rsidR="009D4EFF" w:rsidRPr="00D911AF">
        <w:rPr>
          <w:lang w:val="fr-FR"/>
        </w:rPr>
        <w:t>de</w:t>
      </w:r>
      <w:r w:rsidR="00B53AE0" w:rsidRPr="00D911AF">
        <w:rPr>
          <w:lang w:val="fr-FR"/>
        </w:rPr>
        <w:t>s</w:t>
      </w:r>
      <w:r w:rsidR="009D4EFF" w:rsidRPr="00D911AF">
        <w:rPr>
          <w:lang w:val="fr-FR"/>
        </w:rPr>
        <w:t xml:space="preserve"> pension</w:t>
      </w:r>
      <w:r w:rsidR="00B53AE0" w:rsidRPr="00D911AF">
        <w:rPr>
          <w:lang w:val="fr-FR"/>
        </w:rPr>
        <w:t>s</w:t>
      </w:r>
      <w:r w:rsidR="009D4EFF" w:rsidRPr="00D911AF">
        <w:rPr>
          <w:lang w:val="fr-FR"/>
        </w:rPr>
        <w:t xml:space="preserve"> en cas de </w:t>
      </w:r>
      <w:r w:rsidR="00F31499" w:rsidRPr="00D911AF">
        <w:rPr>
          <w:lang w:val="fr-FR"/>
        </w:rPr>
        <w:t>diminu</w:t>
      </w:r>
      <w:r w:rsidR="00777191" w:rsidRPr="00D911AF">
        <w:rPr>
          <w:lang w:val="fr-FR"/>
        </w:rPr>
        <w:t>tion</w:t>
      </w:r>
      <w:r w:rsidR="009D4EFF" w:rsidRPr="00D911AF">
        <w:rPr>
          <w:lang w:val="fr-FR"/>
        </w:rPr>
        <w:t xml:space="preserve"> </w:t>
      </w:r>
      <w:r w:rsidR="0083773C" w:rsidRPr="00D911AF">
        <w:rPr>
          <w:lang w:val="fr-FR"/>
        </w:rPr>
        <w:t>d</w:t>
      </w:r>
      <w:r w:rsidR="009D4EFF" w:rsidRPr="00D911AF">
        <w:rPr>
          <w:lang w:val="fr-FR"/>
        </w:rPr>
        <w:t>épass</w:t>
      </w:r>
      <w:r w:rsidR="0083773C" w:rsidRPr="00D911AF">
        <w:rPr>
          <w:lang w:val="fr-FR"/>
        </w:rPr>
        <w:t>ant</w:t>
      </w:r>
      <w:r w:rsidR="009D4EFF" w:rsidRPr="00D911AF">
        <w:rPr>
          <w:lang w:val="fr-FR"/>
        </w:rPr>
        <w:t xml:space="preserve"> </w:t>
      </w:r>
      <w:r w:rsidR="00C83601" w:rsidRPr="00D911AF">
        <w:rPr>
          <w:lang w:val="fr-FR"/>
        </w:rPr>
        <w:t>ce seuil</w:t>
      </w:r>
      <w:r w:rsidRPr="00D911AF">
        <w:rPr>
          <w:lang w:val="fr-FR"/>
        </w:rPr>
        <w:t xml:space="preserve"> (</w:t>
      </w:r>
      <w:r w:rsidR="0083773C" w:rsidRPr="00D911AF">
        <w:rPr>
          <w:lang w:val="fr-FR"/>
        </w:rPr>
        <w:t xml:space="preserve">voir, </w:t>
      </w:r>
      <w:r w:rsidRPr="00D911AF">
        <w:rPr>
          <w:i/>
          <w:lang w:val="fr-FR"/>
        </w:rPr>
        <w:t>mutatis mutandis</w:t>
      </w:r>
      <w:r w:rsidRPr="00D911AF">
        <w:rPr>
          <w:lang w:val="fr-FR"/>
        </w:rPr>
        <w:t xml:space="preserve">, </w:t>
      </w:r>
      <w:proofErr w:type="spellStart"/>
      <w:r w:rsidRPr="00D911AF">
        <w:rPr>
          <w:i/>
          <w:lang w:val="fr-FR"/>
        </w:rPr>
        <w:t>Lakićević</w:t>
      </w:r>
      <w:proofErr w:type="spellEnd"/>
      <w:r w:rsidRPr="00D911AF">
        <w:rPr>
          <w:i/>
          <w:lang w:val="fr-FR"/>
        </w:rPr>
        <w:t xml:space="preserve"> et autres c.</w:t>
      </w:r>
      <w:r w:rsidR="0083773C" w:rsidRPr="00D911AF">
        <w:rPr>
          <w:i/>
          <w:lang w:val="fr-FR"/>
        </w:rPr>
        <w:t> </w:t>
      </w:r>
      <w:r w:rsidRPr="00D911AF">
        <w:rPr>
          <w:i/>
          <w:lang w:val="fr-FR"/>
        </w:rPr>
        <w:t>Mont</w:t>
      </w:r>
      <w:r w:rsidR="002D1921" w:rsidRPr="00D911AF">
        <w:rPr>
          <w:i/>
          <w:lang w:val="fr-FR"/>
        </w:rPr>
        <w:t>é</w:t>
      </w:r>
      <w:r w:rsidRPr="00D911AF">
        <w:rPr>
          <w:i/>
          <w:lang w:val="fr-FR"/>
        </w:rPr>
        <w:t>n</w:t>
      </w:r>
      <w:r w:rsidR="002D1921" w:rsidRPr="00D911AF">
        <w:rPr>
          <w:i/>
          <w:lang w:val="fr-FR"/>
        </w:rPr>
        <w:t>é</w:t>
      </w:r>
      <w:r w:rsidRPr="00D911AF">
        <w:rPr>
          <w:i/>
          <w:lang w:val="fr-FR"/>
        </w:rPr>
        <w:t>gro et Serbie</w:t>
      </w:r>
      <w:r w:rsidRPr="00D911AF">
        <w:rPr>
          <w:lang w:val="fr-FR"/>
        </w:rPr>
        <w:t xml:space="preserve">, </w:t>
      </w:r>
      <w:r w:rsidR="00BA5CC6" w:rsidRPr="00D911AF">
        <w:rPr>
          <w:lang w:val="fr-FR"/>
        </w:rPr>
        <w:t>précité</w:t>
      </w:r>
      <w:r w:rsidRPr="00D911AF">
        <w:rPr>
          <w:snapToGrid w:val="0"/>
          <w:szCs w:val="24"/>
          <w:lang w:val="fr-FR"/>
        </w:rPr>
        <w:t>, §</w:t>
      </w:r>
      <w:r w:rsidR="0083773C" w:rsidRPr="00D911AF">
        <w:rPr>
          <w:snapToGrid w:val="0"/>
          <w:szCs w:val="24"/>
          <w:lang w:val="fr-FR"/>
        </w:rPr>
        <w:t> </w:t>
      </w:r>
      <w:r w:rsidRPr="00D911AF">
        <w:rPr>
          <w:snapToGrid w:val="0"/>
          <w:szCs w:val="24"/>
          <w:lang w:val="fr-FR"/>
        </w:rPr>
        <w:t>80</w:t>
      </w:r>
      <w:r w:rsidRPr="00D911AF">
        <w:rPr>
          <w:lang w:val="fr-FR"/>
        </w:rPr>
        <w:t>)</w:t>
      </w:r>
      <w:r w:rsidR="009D4EFF" w:rsidRPr="00D911AF">
        <w:rPr>
          <w:lang w:val="fr-FR"/>
        </w:rPr>
        <w:t>.</w:t>
      </w:r>
    </w:p>
    <w:p w:rsidR="00D911AF" w:rsidRPr="00D911AF" w:rsidRDefault="00300871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28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Par conséquent, la Cour ne peut leur allouer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intégralité de la somme qu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ils réclament, précisément parce qu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une réduction raisonnable et proportionnée de leur droit à pension se serait conciliée avec leurs droits tels </w:t>
      </w:r>
      <w:r w:rsidRPr="00D911AF">
        <w:rPr>
          <w:lang w:val="fr-FR"/>
        </w:rPr>
        <w:lastRenderedPageBreak/>
        <w:t>que garantis par la Convention (</w:t>
      </w:r>
      <w:proofErr w:type="spellStart"/>
      <w:r w:rsidRPr="00D911AF">
        <w:rPr>
          <w:i/>
          <w:lang w:val="fr-FR"/>
        </w:rPr>
        <w:t>Kjartan</w:t>
      </w:r>
      <w:proofErr w:type="spellEnd"/>
      <w:r w:rsidRPr="00D911AF">
        <w:rPr>
          <w:i/>
          <w:lang w:val="fr-FR"/>
        </w:rPr>
        <w:t xml:space="preserve"> </w:t>
      </w:r>
      <w:proofErr w:type="spellStart"/>
      <w:r w:rsidRPr="00D911AF">
        <w:rPr>
          <w:i/>
          <w:lang w:val="fr-FR"/>
        </w:rPr>
        <w:t>Ásmundsson</w:t>
      </w:r>
      <w:proofErr w:type="spellEnd"/>
      <w:r w:rsidRPr="00D911AF">
        <w:rPr>
          <w:i/>
          <w:lang w:val="fr-FR"/>
        </w:rPr>
        <w:t xml:space="preserve"> c. Islande</w:t>
      </w:r>
      <w:r w:rsidRPr="00D911AF">
        <w:rPr>
          <w:lang w:val="fr-FR"/>
        </w:rPr>
        <w:t>, n</w:t>
      </w:r>
      <w:r w:rsidRPr="00D911AF">
        <w:rPr>
          <w:vertAlign w:val="superscript"/>
          <w:lang w:val="fr-FR"/>
        </w:rPr>
        <w:t>o</w:t>
      </w:r>
      <w:r w:rsidR="005D6B44" w:rsidRPr="00D911AF">
        <w:rPr>
          <w:lang w:val="fr-FR"/>
        </w:rPr>
        <w:t> </w:t>
      </w:r>
      <w:r w:rsidRPr="00D911AF">
        <w:rPr>
          <w:lang w:val="fr-FR"/>
        </w:rPr>
        <w:t>60669/00, §</w:t>
      </w:r>
      <w:r w:rsidR="00BA5CC6" w:rsidRPr="00D911AF">
        <w:rPr>
          <w:lang w:val="fr-FR"/>
        </w:rPr>
        <w:t>§ 45 et</w:t>
      </w:r>
      <w:r w:rsidRPr="00D911AF">
        <w:rPr>
          <w:lang w:val="fr-FR"/>
        </w:rPr>
        <w:t> 51, CEDH 2004</w:t>
      </w:r>
      <w:r w:rsidRPr="00D911AF">
        <w:rPr>
          <w:lang w:val="fr-FR"/>
        </w:rPr>
        <w:noBreakHyphen/>
        <w:t>IX).</w:t>
      </w:r>
    </w:p>
    <w:p w:rsidR="00144EF8" w:rsidRPr="00D911AF" w:rsidRDefault="00D15835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29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520D33" w:rsidRPr="00D911AF">
        <w:rPr>
          <w:lang w:val="fr-FR"/>
        </w:rPr>
        <w:t>Eu égard à ce qui précède</w:t>
      </w:r>
      <w:r w:rsidR="00163527" w:rsidRPr="00D911AF">
        <w:rPr>
          <w:lang w:val="fr-FR"/>
        </w:rPr>
        <w:t xml:space="preserve"> et </w:t>
      </w:r>
      <w:r w:rsidR="00F867EE" w:rsidRPr="00D911AF">
        <w:rPr>
          <w:rFonts w:ascii="Times New Roman" w:hAnsi="Times New Roman"/>
          <w:bCs/>
          <w:szCs w:val="24"/>
          <w:lang w:val="fr-FR" w:eastAsia="en-GB"/>
        </w:rPr>
        <w:t>compte tenu des circonstances spécifiques de l</w:t>
      </w:r>
      <w:r w:rsidR="00D911AF" w:rsidRPr="00D911AF">
        <w:rPr>
          <w:rFonts w:ascii="Times New Roman" w:hAnsi="Times New Roman"/>
          <w:bCs/>
          <w:szCs w:val="24"/>
          <w:lang w:val="fr-FR" w:eastAsia="en-GB"/>
        </w:rPr>
        <w:t>’</w:t>
      </w:r>
      <w:r w:rsidR="00F867EE" w:rsidRPr="00D911AF">
        <w:rPr>
          <w:rFonts w:ascii="Times New Roman" w:hAnsi="Times New Roman"/>
          <w:bCs/>
          <w:szCs w:val="24"/>
          <w:lang w:val="fr-FR" w:eastAsia="en-GB"/>
        </w:rPr>
        <w:t xml:space="preserve">affaire et du type de contentieux en cause (voir </w:t>
      </w:r>
      <w:proofErr w:type="spellStart"/>
      <w:r w:rsidR="00F867EE" w:rsidRPr="00D911AF">
        <w:rPr>
          <w:rFonts w:ascii="Times New Roman" w:hAnsi="Times New Roman"/>
          <w:bCs/>
          <w:i/>
          <w:iCs/>
          <w:szCs w:val="24"/>
          <w:lang w:val="fr-FR" w:eastAsia="en-GB"/>
        </w:rPr>
        <w:t>Stefanetti</w:t>
      </w:r>
      <w:proofErr w:type="spellEnd"/>
      <w:r w:rsidR="00F867EE" w:rsidRPr="00D911AF">
        <w:rPr>
          <w:rFonts w:ascii="Times New Roman" w:hAnsi="Times New Roman"/>
          <w:bCs/>
          <w:i/>
          <w:iCs/>
          <w:szCs w:val="24"/>
          <w:lang w:val="fr-FR" w:eastAsia="en-GB"/>
        </w:rPr>
        <w:t xml:space="preserve"> et autres c. Italie</w:t>
      </w:r>
      <w:r w:rsidR="00F867EE" w:rsidRPr="00D911AF">
        <w:rPr>
          <w:rFonts w:ascii="Times New Roman" w:hAnsi="Times New Roman"/>
          <w:bCs/>
          <w:szCs w:val="24"/>
          <w:lang w:val="fr-FR" w:eastAsia="en-GB"/>
        </w:rPr>
        <w:t>, précité, §§ 60-65)</w:t>
      </w:r>
      <w:r w:rsidR="00F867EE" w:rsidRPr="00D911AF">
        <w:rPr>
          <w:rFonts w:ascii="Times New Roman" w:hAnsi="Times New Roman"/>
          <w:szCs w:val="24"/>
          <w:lang w:val="fr-FR" w:eastAsia="en-GB"/>
        </w:rPr>
        <w:t>,</w:t>
      </w:r>
      <w:r w:rsidR="00B101B8" w:rsidRPr="00D911AF">
        <w:rPr>
          <w:lang w:val="fr-FR"/>
        </w:rPr>
        <w:t xml:space="preserve"> </w:t>
      </w:r>
      <w:r w:rsidR="009D4EFF" w:rsidRPr="00D911AF">
        <w:rPr>
          <w:lang w:val="fr-FR"/>
        </w:rPr>
        <w:t xml:space="preserve">la Cour estime raisonnable </w:t>
      </w:r>
      <w:r w:rsidR="0061716B" w:rsidRPr="00D911AF">
        <w:rPr>
          <w:lang w:val="fr-FR"/>
        </w:rPr>
        <w:t xml:space="preserve">de </w:t>
      </w:r>
      <w:r w:rsidR="009D4EFF" w:rsidRPr="00D911AF">
        <w:rPr>
          <w:lang w:val="fr-FR"/>
        </w:rPr>
        <w:t>reconna</w:t>
      </w:r>
      <w:r w:rsidR="0061716B" w:rsidRPr="00D911AF">
        <w:rPr>
          <w:lang w:val="fr-FR"/>
        </w:rPr>
        <w:t>î</w:t>
      </w:r>
      <w:r w:rsidR="009D4EFF" w:rsidRPr="00D911AF">
        <w:rPr>
          <w:lang w:val="fr-FR"/>
        </w:rPr>
        <w:t xml:space="preserve">tre à titre de dommage matériel la différence entre </w:t>
      </w:r>
      <w:r w:rsidR="00A00E62" w:rsidRPr="00D911AF">
        <w:rPr>
          <w:lang w:val="fr-FR"/>
        </w:rPr>
        <w:t>55</w:t>
      </w:r>
      <w:r w:rsidR="00520D33" w:rsidRPr="00D911AF">
        <w:rPr>
          <w:lang w:val="fr-FR"/>
        </w:rPr>
        <w:t> </w:t>
      </w:r>
      <w:r w:rsidR="00A00E62" w:rsidRPr="00D911AF">
        <w:rPr>
          <w:lang w:val="fr-FR"/>
        </w:rPr>
        <w:t>% d</w:t>
      </w:r>
      <w:r w:rsidR="0061716B" w:rsidRPr="00D911AF">
        <w:rPr>
          <w:lang w:val="fr-FR"/>
        </w:rPr>
        <w:t>es</w:t>
      </w:r>
      <w:r w:rsidR="00A00E62" w:rsidRPr="00D911AF">
        <w:rPr>
          <w:lang w:val="fr-FR"/>
        </w:rPr>
        <w:t xml:space="preserve"> </w:t>
      </w:r>
      <w:r w:rsidR="00520D33" w:rsidRPr="00D911AF">
        <w:rPr>
          <w:lang w:val="fr-FR"/>
        </w:rPr>
        <w:t>sommes</w:t>
      </w:r>
      <w:r w:rsidR="009D4EFF" w:rsidRPr="00D911AF">
        <w:rPr>
          <w:lang w:val="fr-FR"/>
        </w:rPr>
        <w:t xml:space="preserve"> qu</w:t>
      </w:r>
      <w:r w:rsidR="00A41D81" w:rsidRPr="00D911AF">
        <w:rPr>
          <w:lang w:val="fr-FR"/>
        </w:rPr>
        <w:t>e les requérants</w:t>
      </w:r>
      <w:r w:rsidR="009D4EFF" w:rsidRPr="00D911AF">
        <w:rPr>
          <w:lang w:val="fr-FR"/>
        </w:rPr>
        <w:t xml:space="preserve"> auraient dû obtenir en l</w:t>
      </w:r>
      <w:r w:rsidR="00D911AF" w:rsidRPr="00D911AF">
        <w:rPr>
          <w:lang w:val="fr-FR"/>
        </w:rPr>
        <w:t>’</w:t>
      </w:r>
      <w:r w:rsidR="009D4EFF" w:rsidRPr="00D911AF">
        <w:rPr>
          <w:lang w:val="fr-FR"/>
        </w:rPr>
        <w:t>absence de l</w:t>
      </w:r>
      <w:r w:rsidR="00D911AF" w:rsidRPr="00D911AF">
        <w:rPr>
          <w:lang w:val="fr-FR"/>
        </w:rPr>
        <w:t>’</w:t>
      </w:r>
      <w:r w:rsidR="009D4EFF" w:rsidRPr="00D911AF">
        <w:rPr>
          <w:lang w:val="fr-FR"/>
        </w:rPr>
        <w:t xml:space="preserve">intervention de la loi litigieuse et </w:t>
      </w:r>
      <w:r w:rsidR="00520D33" w:rsidRPr="00D911AF">
        <w:rPr>
          <w:lang w:val="fr-FR"/>
        </w:rPr>
        <w:t>celles</w:t>
      </w:r>
      <w:r w:rsidR="009D4EFF" w:rsidRPr="00D911AF">
        <w:rPr>
          <w:lang w:val="fr-FR"/>
        </w:rPr>
        <w:t xml:space="preserve"> effectivement perçu</w:t>
      </w:r>
      <w:r w:rsidR="0061716B" w:rsidRPr="00D911AF">
        <w:rPr>
          <w:lang w:val="fr-FR"/>
        </w:rPr>
        <w:t>es</w:t>
      </w:r>
      <w:r w:rsidR="00EC0F8F" w:rsidRPr="00D911AF">
        <w:rPr>
          <w:lang w:val="fr-FR"/>
        </w:rPr>
        <w:t xml:space="preserve"> par eux</w:t>
      </w:r>
      <w:r w:rsidR="00B862D1" w:rsidRPr="00D911AF">
        <w:rPr>
          <w:lang w:val="fr-FR"/>
        </w:rPr>
        <w:t xml:space="preserve"> (voir annexe V)</w:t>
      </w:r>
      <w:r w:rsidR="009D4EFF" w:rsidRPr="00D911AF">
        <w:rPr>
          <w:lang w:val="fr-FR"/>
        </w:rPr>
        <w:t>.</w:t>
      </w:r>
    </w:p>
    <w:p w:rsidR="00D537F5" w:rsidRPr="00D911AF" w:rsidRDefault="009D4EFF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30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D537F5" w:rsidRPr="00D911AF">
        <w:rPr>
          <w:lang w:val="fr-FR"/>
        </w:rPr>
        <w:t>Par conséquent, elle décide d</w:t>
      </w:r>
      <w:r w:rsidR="00D911AF" w:rsidRPr="00D911AF">
        <w:rPr>
          <w:lang w:val="fr-FR"/>
        </w:rPr>
        <w:t>’</w:t>
      </w:r>
      <w:r w:rsidR="00A00E62" w:rsidRPr="00D911AF">
        <w:rPr>
          <w:lang w:val="fr-FR"/>
        </w:rPr>
        <w:t xml:space="preserve">accorder les sommes suivantes </w:t>
      </w:r>
      <w:r w:rsidR="00D537F5" w:rsidRPr="00D911AF">
        <w:rPr>
          <w:lang w:val="fr-FR"/>
        </w:rPr>
        <w:t>:</w:t>
      </w:r>
    </w:p>
    <w:p w:rsidR="00BC6FC0" w:rsidRPr="00D911AF" w:rsidRDefault="00BC6FC0" w:rsidP="00D911AF">
      <w:pPr>
        <w:pStyle w:val="ECHRPara"/>
        <w:ind w:firstLine="0"/>
        <w:rPr>
          <w:lang w:val="fr-FR"/>
        </w:rPr>
      </w:pPr>
    </w:p>
    <w:tbl>
      <w:tblPr>
        <w:tblW w:w="7540" w:type="dxa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2556"/>
        <w:gridCol w:w="1865"/>
      </w:tblGrid>
      <w:tr w:rsidR="005A7655" w:rsidRPr="00D911AF" w:rsidTr="00D9089E">
        <w:trPr>
          <w:gridAfter w:val="1"/>
          <w:wAfter w:w="1865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A7655" w:rsidRPr="00D911AF" w:rsidRDefault="005A7655" w:rsidP="00D911AF">
            <w:pPr>
              <w:ind w:left="333" w:hanging="333"/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Requête n</w:t>
            </w:r>
            <w:r w:rsidRPr="00D911AF">
              <w:rPr>
                <w:vertAlign w:val="superscript"/>
                <w:lang w:val="fr-FR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  <w:vAlign w:val="center"/>
          </w:tcPr>
          <w:p w:rsidR="005A7655" w:rsidRPr="00D911AF" w:rsidRDefault="005A7655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Requérant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:rsidR="005A7655" w:rsidRPr="00D911AF" w:rsidRDefault="005A7655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Somme accordée au titre du préjudice matériel</w:t>
            </w:r>
          </w:p>
        </w:tc>
      </w:tr>
      <w:tr w:rsidR="001E036B" w:rsidRPr="00D911AF" w:rsidTr="00D9089E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21838/10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 xml:space="preserve">M. </w:t>
            </w:r>
            <w:proofErr w:type="spellStart"/>
            <w:r w:rsidRPr="00D911AF">
              <w:rPr>
                <w:lang w:val="fr-FR"/>
              </w:rPr>
              <w:t>Stefanetti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146 508 EUR</w:t>
            </w:r>
          </w:p>
        </w:tc>
        <w:tc>
          <w:tcPr>
            <w:tcW w:w="1865" w:type="dxa"/>
            <w:vAlign w:val="bottom"/>
          </w:tcPr>
          <w:p w:rsidR="001E036B" w:rsidRPr="00D911AF" w:rsidRDefault="001E036B" w:rsidP="00D911AF">
            <w:pPr>
              <w:jc w:val="left"/>
            </w:pPr>
          </w:p>
        </w:tc>
      </w:tr>
      <w:tr w:rsidR="001E036B" w:rsidRPr="00D911AF" w:rsidTr="00D9089E">
        <w:trPr>
          <w:gridAfter w:val="1"/>
          <w:wAfter w:w="1865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21849/10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 xml:space="preserve">M. </w:t>
            </w:r>
            <w:proofErr w:type="spellStart"/>
            <w:r w:rsidRPr="00D911AF">
              <w:rPr>
                <w:lang w:val="fr-FR"/>
              </w:rPr>
              <w:t>Rodelli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100 517 EUR</w:t>
            </w:r>
            <w:r w:rsidRPr="00D911AF" w:rsidDel="00D35173">
              <w:t xml:space="preserve"> </w:t>
            </w:r>
          </w:p>
        </w:tc>
      </w:tr>
      <w:tr w:rsidR="001E036B" w:rsidRPr="00D911AF" w:rsidTr="00D9089E">
        <w:trPr>
          <w:gridAfter w:val="1"/>
          <w:wAfter w:w="1865" w:type="dxa"/>
          <w:trHeight w:val="2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21852/10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>M. Negri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159 922 EUR</w:t>
            </w:r>
            <w:r w:rsidRPr="00D911AF" w:rsidDel="00D35173">
              <w:t xml:space="preserve"> </w:t>
            </w:r>
          </w:p>
        </w:tc>
      </w:tr>
      <w:tr w:rsidR="001E036B" w:rsidRPr="00D911AF" w:rsidTr="00D9089E">
        <w:trPr>
          <w:gridAfter w:val="1"/>
          <w:wAfter w:w="1865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21855/10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 xml:space="preserve">M. </w:t>
            </w:r>
            <w:proofErr w:type="spellStart"/>
            <w:r w:rsidRPr="00D911AF">
              <w:rPr>
                <w:lang w:val="fr-FR"/>
              </w:rPr>
              <w:t>Della</w:t>
            </w:r>
            <w:proofErr w:type="spellEnd"/>
            <w:r w:rsidRPr="00D911AF">
              <w:rPr>
                <w:lang w:val="fr-FR"/>
              </w:rPr>
              <w:t xml:space="preserve"> Nave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167 601 EUR</w:t>
            </w:r>
            <w:r w:rsidRPr="00D911AF" w:rsidDel="00D35173">
              <w:t xml:space="preserve"> </w:t>
            </w:r>
          </w:p>
        </w:tc>
      </w:tr>
      <w:tr w:rsidR="001E036B" w:rsidRPr="00D911AF" w:rsidTr="00D9089E">
        <w:trPr>
          <w:gridAfter w:val="1"/>
          <w:wAfter w:w="1865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21860/10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 xml:space="preserve">M. Del </w:t>
            </w:r>
            <w:proofErr w:type="spellStart"/>
            <w:r w:rsidRPr="00D911AF">
              <w:rPr>
                <w:lang w:val="fr-FR"/>
              </w:rPr>
              <w:t>Maffeo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166 158 EUR</w:t>
            </w:r>
            <w:r w:rsidRPr="00D911AF" w:rsidDel="00D35173">
              <w:t xml:space="preserve"> </w:t>
            </w:r>
          </w:p>
        </w:tc>
      </w:tr>
      <w:tr w:rsidR="001E036B" w:rsidRPr="00D911AF" w:rsidTr="00D9089E">
        <w:trPr>
          <w:gridAfter w:val="1"/>
          <w:wAfter w:w="1865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21863/10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>M. Cotta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72 088 EUR</w:t>
            </w:r>
            <w:r w:rsidRPr="00D911AF" w:rsidDel="00D35173">
              <w:t xml:space="preserve"> </w:t>
            </w:r>
          </w:p>
        </w:tc>
      </w:tr>
      <w:tr w:rsidR="001E036B" w:rsidRPr="00D911AF" w:rsidTr="00D9089E">
        <w:trPr>
          <w:gridAfter w:val="1"/>
          <w:wAfter w:w="1865" w:type="dxa"/>
          <w:trHeight w:val="2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21869/10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 xml:space="preserve">M. </w:t>
            </w:r>
            <w:proofErr w:type="spellStart"/>
            <w:r w:rsidRPr="00D911AF">
              <w:rPr>
                <w:lang w:val="fr-FR"/>
              </w:rPr>
              <w:t>Curti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47 382 EUR</w:t>
            </w:r>
            <w:r w:rsidRPr="00D911AF" w:rsidDel="00D35173">
              <w:t xml:space="preserve"> </w:t>
            </w:r>
          </w:p>
        </w:tc>
      </w:tr>
      <w:tr w:rsidR="001E036B" w:rsidRPr="00D911AF" w:rsidTr="00D9089E">
        <w:trPr>
          <w:gridAfter w:val="1"/>
          <w:wAfter w:w="1865" w:type="dxa"/>
          <w:trHeight w:val="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6B" w:rsidRPr="00D911AF" w:rsidRDefault="001E036B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21870/10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036B" w:rsidRPr="00D911AF" w:rsidRDefault="001E036B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 xml:space="preserve">M. </w:t>
            </w:r>
            <w:proofErr w:type="spellStart"/>
            <w:r w:rsidRPr="00D911AF">
              <w:rPr>
                <w:lang w:val="fr-FR"/>
              </w:rPr>
              <w:t>Andreola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6B" w:rsidRPr="00D911AF" w:rsidRDefault="001E036B" w:rsidP="00D911AF">
            <w:pPr>
              <w:jc w:val="right"/>
            </w:pPr>
            <w:r w:rsidRPr="00D911AF">
              <w:t>14 786 EUR</w:t>
            </w:r>
            <w:r w:rsidRPr="00D911AF" w:rsidDel="00D35173">
              <w:t xml:space="preserve"> </w:t>
            </w:r>
          </w:p>
        </w:tc>
      </w:tr>
    </w:tbl>
    <w:p w:rsidR="001C078F" w:rsidRPr="00D911AF" w:rsidRDefault="001C078F" w:rsidP="00D911AF">
      <w:pPr>
        <w:pStyle w:val="ECHRPara"/>
        <w:rPr>
          <w:lang w:val="fr-FR"/>
        </w:rPr>
      </w:pPr>
    </w:p>
    <w:p w:rsidR="001C078F" w:rsidRPr="00D911AF" w:rsidRDefault="001C078F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31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Enfin, la Cour estime que les requérants ne sauraient être exonérés du paiement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impôt, calculé conformément au droit interne, sur les sommes accordées par elle, compte tenu du fait que les arriérés des pensions sont normalement assujettis à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impôt sur le revenu.</w:t>
      </w:r>
    </w:p>
    <w:p w:rsidR="00960D53" w:rsidRPr="00D911AF" w:rsidRDefault="00F97626" w:rsidP="00D911AF">
      <w:pPr>
        <w:pStyle w:val="ECHRHeading2"/>
        <w:rPr>
          <w:lang w:val="fr-FR"/>
        </w:rPr>
      </w:pPr>
      <w:r w:rsidRPr="00D911AF">
        <w:rPr>
          <w:lang w:val="fr-FR"/>
        </w:rPr>
        <w:t>B.</w:t>
      </w:r>
      <w:proofErr w:type="gramStart"/>
      <w:r w:rsidRPr="00D911AF">
        <w:rPr>
          <w:lang w:val="fr-FR"/>
        </w:rPr>
        <w:t>  </w:t>
      </w:r>
      <w:r w:rsidR="00960D53" w:rsidRPr="00D911AF">
        <w:rPr>
          <w:lang w:val="fr-FR"/>
        </w:rPr>
        <w:t>Frais</w:t>
      </w:r>
      <w:proofErr w:type="gramEnd"/>
      <w:r w:rsidR="00960D53" w:rsidRPr="00D911AF">
        <w:rPr>
          <w:lang w:val="fr-FR"/>
        </w:rPr>
        <w:t xml:space="preserve"> et dépens</w:t>
      </w:r>
    </w:p>
    <w:p w:rsidR="00680DFF" w:rsidRPr="00D911AF" w:rsidRDefault="00BC737B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32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680DFF" w:rsidRPr="00D911AF">
        <w:rPr>
          <w:lang w:val="fr-FR"/>
        </w:rPr>
        <w:t xml:space="preserve">Les requérants réclament </w:t>
      </w:r>
      <w:r w:rsidR="000645F5" w:rsidRPr="00D911AF">
        <w:rPr>
          <w:lang w:val="fr-FR"/>
        </w:rPr>
        <w:t>24 711,</w:t>
      </w:r>
      <w:r w:rsidRPr="00D911AF">
        <w:rPr>
          <w:lang w:val="fr-FR"/>
        </w:rPr>
        <w:t xml:space="preserve">46 </w:t>
      </w:r>
      <w:r w:rsidR="00680DFF" w:rsidRPr="00D911AF">
        <w:rPr>
          <w:lang w:val="fr-FR"/>
        </w:rPr>
        <w:t xml:space="preserve">EUR chacun pour les frais et dépens engagés </w:t>
      </w:r>
      <w:r w:rsidR="00A00E62" w:rsidRPr="00D911AF">
        <w:rPr>
          <w:lang w:val="fr-FR"/>
        </w:rPr>
        <w:t xml:space="preserve">globalement </w:t>
      </w:r>
      <w:r w:rsidR="00680DFF" w:rsidRPr="00D911AF">
        <w:rPr>
          <w:lang w:val="fr-FR"/>
        </w:rPr>
        <w:t>devant la Cour.</w:t>
      </w:r>
    </w:p>
    <w:p w:rsidR="001E6F9B" w:rsidRPr="00D911AF" w:rsidRDefault="001E6F9B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33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Le Gouvernement ne présente pas d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 xml:space="preserve">observations </w:t>
      </w:r>
      <w:r w:rsidR="00B23529" w:rsidRPr="00D911AF">
        <w:rPr>
          <w:lang w:val="fr-FR"/>
        </w:rPr>
        <w:t>sur</w:t>
      </w:r>
      <w:r w:rsidR="00A00E62" w:rsidRPr="00D911AF">
        <w:rPr>
          <w:lang w:val="fr-FR"/>
        </w:rPr>
        <w:t xml:space="preserve"> ce point</w:t>
      </w:r>
      <w:r w:rsidRPr="00D911AF">
        <w:rPr>
          <w:lang w:val="fr-FR"/>
        </w:rPr>
        <w:t>.</w:t>
      </w:r>
    </w:p>
    <w:p w:rsidR="00960D53" w:rsidRPr="00D911AF" w:rsidRDefault="00303A59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34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BA58C1" w:rsidRPr="00D911AF">
        <w:rPr>
          <w:lang w:val="fr-FR"/>
        </w:rPr>
        <w:t>Étant donné</w:t>
      </w:r>
      <w:r w:rsidR="00960D53" w:rsidRPr="00D911AF">
        <w:rPr>
          <w:lang w:val="fr-FR"/>
        </w:rPr>
        <w:t xml:space="preserve"> qu</w:t>
      </w:r>
      <w:r w:rsidRPr="00D911AF">
        <w:rPr>
          <w:lang w:val="fr-FR"/>
        </w:rPr>
        <w:t>e</w:t>
      </w:r>
      <w:r w:rsidR="00BA58C1" w:rsidRPr="00D911AF">
        <w:rPr>
          <w:lang w:val="fr-FR"/>
        </w:rPr>
        <w:t xml:space="preserve">, </w:t>
      </w:r>
      <w:r w:rsidRPr="00D911AF">
        <w:rPr>
          <w:lang w:val="fr-FR"/>
        </w:rPr>
        <w:t>dans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arrêt au principal</w:t>
      </w:r>
      <w:r w:rsidR="00BA58C1" w:rsidRPr="00D911AF">
        <w:rPr>
          <w:lang w:val="fr-FR"/>
        </w:rPr>
        <w:t xml:space="preserve">, </w:t>
      </w:r>
      <w:r w:rsidR="00221559" w:rsidRPr="00D911AF">
        <w:rPr>
          <w:lang w:val="fr-FR"/>
        </w:rPr>
        <w:t>la Cour a considéré, pour rejeter la demande relative au remboursement des frais et dépens engagés devant elle, qu</w:t>
      </w:r>
      <w:r w:rsidR="00D911AF" w:rsidRPr="00D911AF">
        <w:rPr>
          <w:lang w:val="fr-FR"/>
        </w:rPr>
        <w:t>’</w:t>
      </w:r>
      <w:r w:rsidR="00221559" w:rsidRPr="00D911AF">
        <w:rPr>
          <w:lang w:val="fr-FR"/>
        </w:rPr>
        <w:t>il n</w:t>
      </w:r>
      <w:r w:rsidR="00D911AF" w:rsidRPr="00D911AF">
        <w:rPr>
          <w:lang w:val="fr-FR"/>
        </w:rPr>
        <w:t>’</w:t>
      </w:r>
      <w:r w:rsidR="005E0A00" w:rsidRPr="00D911AF">
        <w:rPr>
          <w:lang w:val="fr-FR"/>
        </w:rPr>
        <w:t>existait pas de</w:t>
      </w:r>
      <w:r w:rsidR="00221559" w:rsidRPr="00D911AF">
        <w:rPr>
          <w:lang w:val="fr-FR"/>
        </w:rPr>
        <w:t xml:space="preserve"> preuve de la réalité de ceux-ci (pa</w:t>
      </w:r>
      <w:r w:rsidR="00960D53" w:rsidRPr="00D911AF">
        <w:rPr>
          <w:lang w:val="fr-FR"/>
        </w:rPr>
        <w:t>ragraph</w:t>
      </w:r>
      <w:r w:rsidRPr="00D911AF">
        <w:rPr>
          <w:lang w:val="fr-FR"/>
        </w:rPr>
        <w:t>e</w:t>
      </w:r>
      <w:r w:rsidR="00B23529" w:rsidRPr="00D911AF">
        <w:rPr>
          <w:lang w:val="fr-FR"/>
        </w:rPr>
        <w:t> </w:t>
      </w:r>
      <w:r w:rsidRPr="00D911AF">
        <w:rPr>
          <w:lang w:val="fr-FR"/>
        </w:rPr>
        <w:t>7</w:t>
      </w:r>
      <w:r w:rsidR="00960D53" w:rsidRPr="00D911AF">
        <w:rPr>
          <w:lang w:val="fr-FR"/>
        </w:rPr>
        <w:t>7 de l</w:t>
      </w:r>
      <w:r w:rsidR="00D911AF" w:rsidRPr="00D911AF">
        <w:rPr>
          <w:lang w:val="fr-FR"/>
        </w:rPr>
        <w:t>’</w:t>
      </w:r>
      <w:r w:rsidR="00960D53" w:rsidRPr="00D911AF">
        <w:rPr>
          <w:lang w:val="fr-FR"/>
        </w:rPr>
        <w:t>arrêt au principal</w:t>
      </w:r>
      <w:r w:rsidR="0053213C" w:rsidRPr="00D911AF">
        <w:rPr>
          <w:lang w:val="fr-FR"/>
        </w:rPr>
        <w:t xml:space="preserve"> et point 7 du dispositif</w:t>
      </w:r>
      <w:r w:rsidR="00960D53" w:rsidRPr="00D911AF">
        <w:rPr>
          <w:lang w:val="fr-FR"/>
        </w:rPr>
        <w:t>)</w:t>
      </w:r>
      <w:r w:rsidR="00BA58C1" w:rsidRPr="00D911AF">
        <w:rPr>
          <w:lang w:val="fr-FR"/>
        </w:rPr>
        <w:t>, elle ne voit pas de raisons de s</w:t>
      </w:r>
      <w:r w:rsidR="00D911AF" w:rsidRPr="00D911AF">
        <w:rPr>
          <w:lang w:val="fr-FR"/>
        </w:rPr>
        <w:t>’</w:t>
      </w:r>
      <w:r w:rsidR="00BA58C1" w:rsidRPr="00D911AF">
        <w:rPr>
          <w:lang w:val="fr-FR"/>
        </w:rPr>
        <w:t xml:space="preserve">écarter </w:t>
      </w:r>
      <w:r w:rsidR="00ED3B1B" w:rsidRPr="00D911AF">
        <w:rPr>
          <w:lang w:val="fr-FR"/>
        </w:rPr>
        <w:t>en l</w:t>
      </w:r>
      <w:r w:rsidR="00D911AF" w:rsidRPr="00D911AF">
        <w:rPr>
          <w:lang w:val="fr-FR"/>
        </w:rPr>
        <w:t>’</w:t>
      </w:r>
      <w:r w:rsidR="00ED3B1B" w:rsidRPr="00D911AF">
        <w:rPr>
          <w:lang w:val="fr-FR"/>
        </w:rPr>
        <w:t>occurrence de ce constat</w:t>
      </w:r>
      <w:r w:rsidR="00960D53" w:rsidRPr="00D911AF">
        <w:rPr>
          <w:lang w:val="fr-FR"/>
        </w:rPr>
        <w:t>.</w:t>
      </w:r>
    </w:p>
    <w:p w:rsidR="00144EF8" w:rsidRPr="00D911AF" w:rsidRDefault="00303A59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35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proofErr w:type="gramStart"/>
      <w:r w:rsidR="00ED3B1B" w:rsidRPr="00D911AF">
        <w:rPr>
          <w:lang w:val="fr-FR"/>
        </w:rPr>
        <w:t>Toutefois,</w:t>
      </w:r>
      <w:r w:rsidR="003D07D9" w:rsidRPr="00D911AF">
        <w:rPr>
          <w:lang w:val="fr-FR"/>
        </w:rPr>
        <w:t xml:space="preserve"> </w:t>
      </w:r>
      <w:r w:rsidR="00B23529" w:rsidRPr="00D911AF">
        <w:rPr>
          <w:lang w:val="fr-FR"/>
        </w:rPr>
        <w:t>la Cour</w:t>
      </w:r>
      <w:r w:rsidRPr="00D911AF">
        <w:rPr>
          <w:lang w:val="fr-FR"/>
        </w:rPr>
        <w:t xml:space="preserve"> rappelle</w:t>
      </w:r>
      <w:r w:rsidR="00960D53" w:rsidRPr="00D911AF">
        <w:rPr>
          <w:lang w:val="fr-FR"/>
        </w:rPr>
        <w:t xml:space="preserve"> que, si nécessaire, elle alloue un montant pour frais et dépens en vue du remboursement des sommes que les requérants ont dû </w:t>
      </w:r>
      <w:r w:rsidR="00B23529" w:rsidRPr="00D911AF">
        <w:rPr>
          <w:lang w:val="fr-FR"/>
        </w:rPr>
        <w:t>engager</w:t>
      </w:r>
      <w:r w:rsidRPr="00D911AF">
        <w:rPr>
          <w:lang w:val="fr-FR"/>
        </w:rPr>
        <w:t xml:space="preserve"> non seulement</w:t>
      </w:r>
      <w:r w:rsidR="00960D53" w:rsidRPr="00D911AF">
        <w:rPr>
          <w:lang w:val="fr-FR"/>
        </w:rPr>
        <w:t xml:space="preserve"> pour es</w:t>
      </w:r>
      <w:r w:rsidRPr="00D911AF">
        <w:rPr>
          <w:lang w:val="fr-FR"/>
        </w:rPr>
        <w:t>sayer de prévenir une violation et</w:t>
      </w:r>
      <w:r w:rsidR="00960D53" w:rsidRPr="00D911AF">
        <w:rPr>
          <w:lang w:val="fr-FR"/>
        </w:rPr>
        <w:t xml:space="preserve"> pour la faire constater par </w:t>
      </w:r>
      <w:r w:rsidR="00B23529" w:rsidRPr="00D911AF">
        <w:rPr>
          <w:lang w:val="fr-FR"/>
        </w:rPr>
        <w:t>elle</w:t>
      </w:r>
      <w:r w:rsidR="00FB19FC" w:rsidRPr="00D911AF">
        <w:rPr>
          <w:lang w:val="fr-FR"/>
        </w:rPr>
        <w:t>,</w:t>
      </w:r>
      <w:r w:rsidR="00B23529" w:rsidRPr="00D911AF">
        <w:rPr>
          <w:lang w:val="fr-FR"/>
        </w:rPr>
        <w:t xml:space="preserve"> </w:t>
      </w:r>
      <w:r w:rsidRPr="00D911AF">
        <w:rPr>
          <w:lang w:val="fr-FR"/>
        </w:rPr>
        <w:t>mais aussi</w:t>
      </w:r>
      <w:r w:rsidR="00960D53" w:rsidRPr="00D911AF">
        <w:rPr>
          <w:lang w:val="fr-FR"/>
        </w:rPr>
        <w:t>, au besoin, pour obtenir – après un arrêt favorable – une satisfaction équitable soit des autorités nationales compétentes soit, le cas échéant, d</w:t>
      </w:r>
      <w:r w:rsidR="00D911AF" w:rsidRPr="00D911AF">
        <w:rPr>
          <w:lang w:val="fr-FR"/>
        </w:rPr>
        <w:t>’</w:t>
      </w:r>
      <w:r w:rsidR="00FB19FC" w:rsidRPr="00D911AF">
        <w:rPr>
          <w:lang w:val="fr-FR"/>
        </w:rPr>
        <w:t>elle-même</w:t>
      </w:r>
      <w:r w:rsidR="00960D53" w:rsidRPr="00D911AF">
        <w:rPr>
          <w:lang w:val="fr-FR"/>
        </w:rPr>
        <w:t xml:space="preserve"> </w:t>
      </w:r>
      <w:r w:rsidR="00960D53" w:rsidRPr="00D911AF">
        <w:rPr>
          <w:lang w:val="fr-FR"/>
        </w:rPr>
        <w:lastRenderedPageBreak/>
        <w:t>(</w:t>
      </w:r>
      <w:proofErr w:type="spellStart"/>
      <w:r w:rsidR="00D911AF" w:rsidRPr="00D911AF">
        <w:rPr>
          <w:i/>
          <w:lang w:val="fr-FR"/>
        </w:rPr>
        <w:t>Neumeister</w:t>
      </w:r>
      <w:proofErr w:type="spellEnd"/>
      <w:r w:rsidR="00D911AF" w:rsidRPr="00D911AF">
        <w:rPr>
          <w:i/>
          <w:lang w:val="fr-FR"/>
        </w:rPr>
        <w:t xml:space="preserve"> c. </w:t>
      </w:r>
      <w:r w:rsidR="00960D53" w:rsidRPr="00D911AF">
        <w:rPr>
          <w:i/>
          <w:lang w:val="fr-FR"/>
        </w:rPr>
        <w:t>Autriche</w:t>
      </w:r>
      <w:r w:rsidR="00960D53" w:rsidRPr="00D911AF">
        <w:rPr>
          <w:lang w:val="fr-FR"/>
        </w:rPr>
        <w:t xml:space="preserve"> (article 5</w:t>
      </w:r>
      <w:r w:rsidR="00BA58C1" w:rsidRPr="00D911AF">
        <w:rPr>
          <w:lang w:val="fr-FR"/>
        </w:rPr>
        <w:t>0), 7 mai 1974, § 43, série A n</w:t>
      </w:r>
      <w:r w:rsidR="00B91A37" w:rsidRPr="00D911AF">
        <w:rPr>
          <w:vertAlign w:val="superscript"/>
          <w:lang w:val="fr-FR"/>
        </w:rPr>
        <w:t>o</w:t>
      </w:r>
      <w:r w:rsidR="00960D53" w:rsidRPr="00D911AF">
        <w:rPr>
          <w:lang w:val="fr-FR"/>
        </w:rPr>
        <w:t xml:space="preserve"> 17, </w:t>
      </w:r>
      <w:proofErr w:type="spellStart"/>
      <w:r w:rsidR="00960D53" w:rsidRPr="00D911AF">
        <w:rPr>
          <w:i/>
          <w:lang w:val="fr-FR"/>
        </w:rPr>
        <w:t>König</w:t>
      </w:r>
      <w:proofErr w:type="spellEnd"/>
      <w:r w:rsidR="00960D53" w:rsidRPr="00D911AF">
        <w:rPr>
          <w:i/>
          <w:lang w:val="fr-FR"/>
        </w:rPr>
        <w:t xml:space="preserve"> c. Allemagne</w:t>
      </w:r>
      <w:r w:rsidR="00960D53" w:rsidRPr="00D911AF">
        <w:rPr>
          <w:lang w:val="fr-FR"/>
        </w:rPr>
        <w:t xml:space="preserve"> (article 50)</w:t>
      </w:r>
      <w:r w:rsidR="00BA58C1" w:rsidRPr="00D911AF">
        <w:rPr>
          <w:lang w:val="fr-FR"/>
        </w:rPr>
        <w:t>, 10 mars 1980, § 20, série A n</w:t>
      </w:r>
      <w:r w:rsidR="00B91A37" w:rsidRPr="00D911AF">
        <w:rPr>
          <w:vertAlign w:val="superscript"/>
          <w:lang w:val="fr-FR"/>
        </w:rPr>
        <w:t>o</w:t>
      </w:r>
      <w:r w:rsidR="00960D53" w:rsidRPr="00D911AF">
        <w:rPr>
          <w:lang w:val="fr-FR"/>
        </w:rPr>
        <w:t xml:space="preserve"> 36, </w:t>
      </w:r>
      <w:proofErr w:type="spellStart"/>
      <w:r w:rsidR="00737ABB" w:rsidRPr="00D911AF">
        <w:rPr>
          <w:i/>
          <w:lang w:val="fr-FR"/>
        </w:rPr>
        <w:t>Scordino</w:t>
      </w:r>
      <w:proofErr w:type="spellEnd"/>
      <w:r w:rsidR="00737ABB" w:rsidRPr="00D911AF">
        <w:rPr>
          <w:i/>
          <w:lang w:val="fr-FR"/>
        </w:rPr>
        <w:t xml:space="preserve"> c. </w:t>
      </w:r>
      <w:r w:rsidR="00960D53" w:rsidRPr="00D911AF">
        <w:rPr>
          <w:i/>
          <w:lang w:val="fr-FR"/>
        </w:rPr>
        <w:t>Italie</w:t>
      </w:r>
      <w:r w:rsidR="00960D53" w:rsidRPr="00D911AF">
        <w:rPr>
          <w:lang w:val="fr-FR"/>
        </w:rPr>
        <w:t xml:space="preserve"> </w:t>
      </w:r>
      <w:r w:rsidR="00960D53" w:rsidRPr="00D911AF">
        <w:rPr>
          <w:i/>
          <w:lang w:val="fr-FR"/>
        </w:rPr>
        <w:t>(n</w:t>
      </w:r>
      <w:r w:rsidR="00144EF8" w:rsidRPr="00D911AF">
        <w:rPr>
          <w:i/>
          <w:vertAlign w:val="superscript"/>
          <w:lang w:val="fr-FR"/>
        </w:rPr>
        <w:t>o</w:t>
      </w:r>
      <w:r w:rsidR="00960D53" w:rsidRPr="00D911AF">
        <w:rPr>
          <w:i/>
          <w:lang w:val="fr-FR"/>
        </w:rPr>
        <w:t xml:space="preserve"> 1)</w:t>
      </w:r>
      <w:r w:rsidR="00BA58C1" w:rsidRPr="00D911AF">
        <w:rPr>
          <w:lang w:val="fr-FR"/>
        </w:rPr>
        <w:t xml:space="preserve"> [GC], n</w:t>
      </w:r>
      <w:r w:rsidR="00B91A37" w:rsidRPr="00D911AF">
        <w:rPr>
          <w:vertAlign w:val="superscript"/>
          <w:lang w:val="fr-FR"/>
        </w:rPr>
        <w:t>o</w:t>
      </w:r>
      <w:r w:rsidR="005B3309" w:rsidRPr="00D911AF">
        <w:rPr>
          <w:lang w:val="fr-FR"/>
        </w:rPr>
        <w:t> 36813/97</w:t>
      </w:r>
      <w:r w:rsidR="00960D53" w:rsidRPr="00D911AF">
        <w:rPr>
          <w:lang w:val="fr-FR"/>
        </w:rPr>
        <w:t>, § 284, CEDH 2006</w:t>
      </w:r>
      <w:r w:rsidR="00960D53" w:rsidRPr="00D911AF">
        <w:rPr>
          <w:lang w:val="fr-FR"/>
        </w:rPr>
        <w:noBreakHyphen/>
        <w:t>V</w:t>
      </w:r>
      <w:r w:rsidR="001D1AE8" w:rsidRPr="00D911AF">
        <w:rPr>
          <w:lang w:val="fr-FR"/>
        </w:rPr>
        <w:t xml:space="preserve"> et</w:t>
      </w:r>
      <w:r w:rsidR="00D911AF" w:rsidRPr="00D911AF">
        <w:rPr>
          <w:lang w:val="fr-FR"/>
        </w:rPr>
        <w:t xml:space="preserve"> </w:t>
      </w:r>
      <w:proofErr w:type="spellStart"/>
      <w:r w:rsidR="001D1AE8" w:rsidRPr="00D911AF">
        <w:rPr>
          <w:i/>
          <w:snapToGrid w:val="0"/>
          <w:lang w:val="fr-FR"/>
        </w:rPr>
        <w:t>Kurić</w:t>
      </w:r>
      <w:proofErr w:type="spellEnd"/>
      <w:r w:rsidR="001D1AE8" w:rsidRPr="00D911AF">
        <w:rPr>
          <w:i/>
          <w:snapToGrid w:val="0"/>
          <w:lang w:val="fr-FR"/>
        </w:rPr>
        <w:t xml:space="preserve"> et autres c. Slovénie</w:t>
      </w:r>
      <w:r w:rsidR="001D1AE8" w:rsidRPr="00D911AF">
        <w:rPr>
          <w:snapToGrid w:val="0"/>
          <w:lang w:val="fr-FR"/>
        </w:rPr>
        <w:t xml:space="preserve"> (satisfaction équitable) [GC], n</w:t>
      </w:r>
      <w:r w:rsidR="001D1AE8" w:rsidRPr="00D911AF">
        <w:rPr>
          <w:snapToGrid w:val="0"/>
          <w:vertAlign w:val="superscript"/>
          <w:lang w:val="fr-FR"/>
        </w:rPr>
        <w:t>o</w:t>
      </w:r>
      <w:r w:rsidR="001D1AE8" w:rsidRPr="00D911AF">
        <w:rPr>
          <w:snapToGrid w:val="0"/>
          <w:lang w:val="fr-FR"/>
        </w:rPr>
        <w:t xml:space="preserve"> 26828/06, § 127, CEDH 2014</w:t>
      </w:r>
      <w:r w:rsidR="00960D53" w:rsidRPr="00D911AF">
        <w:rPr>
          <w:lang w:val="fr-FR"/>
        </w:rPr>
        <w:t>).</w:t>
      </w:r>
      <w:proofErr w:type="gramEnd"/>
    </w:p>
    <w:p w:rsidR="00960D53" w:rsidRPr="00D911AF" w:rsidRDefault="00303A59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36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F43165" w:rsidRPr="00D911AF">
        <w:rPr>
          <w:lang w:val="fr-FR"/>
        </w:rPr>
        <w:t>Par ailleurs, la Cour rappelle que, s</w:t>
      </w:r>
      <w:r w:rsidR="00960D53" w:rsidRPr="00D911AF">
        <w:rPr>
          <w:lang w:val="fr-FR"/>
        </w:rPr>
        <w:t xml:space="preserve">elon </w:t>
      </w:r>
      <w:r w:rsidR="00F43165" w:rsidRPr="00D911AF">
        <w:rPr>
          <w:lang w:val="fr-FR"/>
        </w:rPr>
        <w:t>s</w:t>
      </w:r>
      <w:r w:rsidR="00960D53" w:rsidRPr="00D911AF">
        <w:rPr>
          <w:lang w:val="fr-FR"/>
        </w:rPr>
        <w:t>a jurisprudence, un requérant ne peut obtenir le remboursement de ses frais et dépens que dans la mesure où se trouvent établis leur réalité, leur nécessité et</w:t>
      </w:r>
      <w:r w:rsidR="00BF29A4" w:rsidRPr="00D911AF">
        <w:rPr>
          <w:lang w:val="fr-FR"/>
        </w:rPr>
        <w:t xml:space="preserve"> </w:t>
      </w:r>
      <w:r w:rsidR="00960D53" w:rsidRPr="00D911AF">
        <w:rPr>
          <w:lang w:val="fr-FR"/>
        </w:rPr>
        <w:t xml:space="preserve">le caractère raisonnable de leur taux (voir, par exemple, </w:t>
      </w:r>
      <w:proofErr w:type="spellStart"/>
      <w:r w:rsidR="00022152" w:rsidRPr="00D911AF">
        <w:rPr>
          <w:i/>
          <w:lang w:val="fr-FR"/>
        </w:rPr>
        <w:t>Maktouf</w:t>
      </w:r>
      <w:proofErr w:type="spellEnd"/>
      <w:r w:rsidR="00022152" w:rsidRPr="00D911AF">
        <w:rPr>
          <w:i/>
          <w:lang w:val="fr-FR"/>
        </w:rPr>
        <w:t xml:space="preserve"> et </w:t>
      </w:r>
      <w:proofErr w:type="spellStart"/>
      <w:r w:rsidR="00022152" w:rsidRPr="00D911AF">
        <w:rPr>
          <w:i/>
          <w:lang w:val="fr-FR"/>
        </w:rPr>
        <w:t>Damjanović</w:t>
      </w:r>
      <w:proofErr w:type="spellEnd"/>
      <w:r w:rsidR="00022152" w:rsidRPr="00D911AF">
        <w:rPr>
          <w:i/>
          <w:lang w:val="fr-FR"/>
        </w:rPr>
        <w:t xml:space="preserve"> c</w:t>
      </w:r>
      <w:proofErr w:type="gramStart"/>
      <w:r w:rsidR="00022152" w:rsidRPr="00D911AF">
        <w:rPr>
          <w:i/>
          <w:lang w:val="fr-FR"/>
        </w:rPr>
        <w:t> </w:t>
      </w:r>
      <w:r w:rsidR="00960D53" w:rsidRPr="00D911AF">
        <w:rPr>
          <w:i/>
          <w:lang w:val="fr-FR"/>
        </w:rPr>
        <w:t xml:space="preserve"> Bosnie</w:t>
      </w:r>
      <w:proofErr w:type="gramEnd"/>
      <w:r w:rsidR="00960D53" w:rsidRPr="00D911AF">
        <w:rPr>
          <w:i/>
          <w:lang w:val="fr-FR"/>
        </w:rPr>
        <w:t>-Herzégovine</w:t>
      </w:r>
      <w:r w:rsidR="00960D53" w:rsidRPr="00D911AF">
        <w:rPr>
          <w:lang w:val="fr-FR"/>
        </w:rPr>
        <w:t xml:space="preserve"> [GC], n</w:t>
      </w:r>
      <w:r w:rsidR="00960D53" w:rsidRPr="00D911AF">
        <w:rPr>
          <w:vertAlign w:val="superscript"/>
          <w:lang w:val="fr-FR"/>
        </w:rPr>
        <w:t>os</w:t>
      </w:r>
      <w:r w:rsidR="00BF29A4" w:rsidRPr="00D911AF">
        <w:rPr>
          <w:lang w:val="fr-FR"/>
        </w:rPr>
        <w:t> </w:t>
      </w:r>
      <w:r w:rsidR="005B3309" w:rsidRPr="00D911AF">
        <w:rPr>
          <w:lang w:val="fr-FR"/>
        </w:rPr>
        <w:t>2312/08</w:t>
      </w:r>
      <w:r w:rsidR="00960D53" w:rsidRPr="00D911AF">
        <w:rPr>
          <w:lang w:val="fr-FR"/>
        </w:rPr>
        <w:t xml:space="preserve"> et</w:t>
      </w:r>
      <w:r w:rsidR="005B3309" w:rsidRPr="00D911AF">
        <w:rPr>
          <w:lang w:val="fr-FR"/>
        </w:rPr>
        <w:t xml:space="preserve"> 34179/08</w:t>
      </w:r>
      <w:r w:rsidR="00960D53" w:rsidRPr="00D911AF">
        <w:rPr>
          <w:lang w:val="fr-FR"/>
        </w:rPr>
        <w:t>, § 94, CEDH 2013).</w:t>
      </w:r>
    </w:p>
    <w:p w:rsidR="00960D53" w:rsidRPr="00D911AF" w:rsidRDefault="00303A59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37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</w:t>
      </w:r>
      <w:r w:rsidR="00960D53" w:rsidRPr="00D911AF">
        <w:rPr>
          <w:lang w:val="fr-FR"/>
        </w:rPr>
        <w:t>En l</w:t>
      </w:r>
      <w:r w:rsidR="00D911AF" w:rsidRPr="00D911AF">
        <w:rPr>
          <w:lang w:val="fr-FR"/>
        </w:rPr>
        <w:t>’</w:t>
      </w:r>
      <w:r w:rsidR="0017007A" w:rsidRPr="00D911AF">
        <w:rPr>
          <w:lang w:val="fr-FR"/>
        </w:rPr>
        <w:t>occurrence</w:t>
      </w:r>
      <w:r w:rsidR="00960D53" w:rsidRPr="00D911AF">
        <w:rPr>
          <w:lang w:val="fr-FR"/>
        </w:rPr>
        <w:t xml:space="preserve">, compte tenu des documents </w:t>
      </w:r>
      <w:r w:rsidR="00BF29A4" w:rsidRPr="00D911AF">
        <w:rPr>
          <w:lang w:val="fr-FR"/>
        </w:rPr>
        <w:t>dont elle dispose</w:t>
      </w:r>
      <w:r w:rsidR="00960D53" w:rsidRPr="00D911AF">
        <w:rPr>
          <w:lang w:val="fr-FR"/>
        </w:rPr>
        <w:t xml:space="preserve"> et des critères susmentionnés, la </w:t>
      </w:r>
      <w:r w:rsidRPr="00D911AF">
        <w:rPr>
          <w:lang w:val="fr-FR"/>
        </w:rPr>
        <w:t>Cour</w:t>
      </w:r>
      <w:r w:rsidR="00960D53" w:rsidRPr="00D911AF">
        <w:rPr>
          <w:lang w:val="fr-FR"/>
        </w:rPr>
        <w:t xml:space="preserve"> estime ra</w:t>
      </w:r>
      <w:r w:rsidR="000B027A" w:rsidRPr="00D911AF">
        <w:rPr>
          <w:lang w:val="fr-FR"/>
        </w:rPr>
        <w:t>isonnable d</w:t>
      </w:r>
      <w:r w:rsidR="00D911AF" w:rsidRPr="00D911AF">
        <w:rPr>
          <w:lang w:val="fr-FR"/>
        </w:rPr>
        <w:t>’</w:t>
      </w:r>
      <w:r w:rsidR="000B027A" w:rsidRPr="00D911AF">
        <w:rPr>
          <w:lang w:val="fr-FR"/>
        </w:rPr>
        <w:t xml:space="preserve">octroyer à ce </w:t>
      </w:r>
      <w:proofErr w:type="gramStart"/>
      <w:r w:rsidR="000B027A" w:rsidRPr="00D911AF">
        <w:rPr>
          <w:lang w:val="fr-FR"/>
        </w:rPr>
        <w:t xml:space="preserve">titre </w:t>
      </w:r>
      <w:r w:rsidR="00737ABB" w:rsidRPr="00D911AF">
        <w:rPr>
          <w:lang w:val="fr-FR"/>
        </w:rPr>
        <w:t> 5</w:t>
      </w:r>
      <w:proofErr w:type="gramEnd"/>
      <w:r w:rsidR="00737ABB" w:rsidRPr="00D911AF">
        <w:rPr>
          <w:lang w:val="fr-FR"/>
        </w:rPr>
        <w:t> </w:t>
      </w:r>
      <w:r w:rsidR="00960D53" w:rsidRPr="00D911AF">
        <w:rPr>
          <w:lang w:val="fr-FR"/>
        </w:rPr>
        <w:t xml:space="preserve">000 EUR aux requérants conjointement pour la procédure </w:t>
      </w:r>
      <w:r w:rsidR="00BF29A4" w:rsidRPr="00D911AF">
        <w:rPr>
          <w:lang w:val="fr-FR"/>
        </w:rPr>
        <w:t xml:space="preserve">menée </w:t>
      </w:r>
      <w:r w:rsidR="0071175C" w:rsidRPr="00D911AF">
        <w:rPr>
          <w:lang w:val="fr-FR"/>
        </w:rPr>
        <w:t xml:space="preserve">devant </w:t>
      </w:r>
      <w:r w:rsidR="00BF29A4" w:rsidRPr="00D911AF">
        <w:rPr>
          <w:lang w:val="fr-FR"/>
        </w:rPr>
        <w:t>elle</w:t>
      </w:r>
      <w:r w:rsidR="0071175C" w:rsidRPr="00D911AF">
        <w:rPr>
          <w:lang w:val="fr-FR"/>
        </w:rPr>
        <w:t xml:space="preserve"> </w:t>
      </w:r>
      <w:r w:rsidR="00960D53" w:rsidRPr="00D911AF">
        <w:rPr>
          <w:lang w:val="fr-FR"/>
        </w:rPr>
        <w:t>après le prononcé de l</w:t>
      </w:r>
      <w:r w:rsidR="00D911AF" w:rsidRPr="00D911AF">
        <w:rPr>
          <w:lang w:val="fr-FR"/>
        </w:rPr>
        <w:t>’</w:t>
      </w:r>
      <w:r w:rsidR="00960D53" w:rsidRPr="00D911AF">
        <w:rPr>
          <w:lang w:val="fr-FR"/>
        </w:rPr>
        <w:t>arrêt au principal.</w:t>
      </w:r>
    </w:p>
    <w:p w:rsidR="004836FA" w:rsidRPr="00D911AF" w:rsidRDefault="004836FA" w:rsidP="00D911AF">
      <w:pPr>
        <w:pStyle w:val="ECHRHeading2"/>
        <w:rPr>
          <w:lang w:val="fr-FR"/>
        </w:rPr>
      </w:pPr>
      <w:r w:rsidRPr="00D911AF">
        <w:rPr>
          <w:lang w:val="fr-FR"/>
        </w:rPr>
        <w:t>C.</w:t>
      </w:r>
      <w:proofErr w:type="gramStart"/>
      <w:r w:rsidRPr="00D911AF">
        <w:rPr>
          <w:lang w:val="fr-FR"/>
        </w:rPr>
        <w:t>  Intérêts</w:t>
      </w:r>
      <w:proofErr w:type="gramEnd"/>
      <w:r w:rsidRPr="00D911AF">
        <w:rPr>
          <w:lang w:val="fr-FR"/>
        </w:rPr>
        <w:t xml:space="preserve"> moratoires</w:t>
      </w:r>
    </w:p>
    <w:p w:rsidR="00052902" w:rsidRPr="00D911AF" w:rsidRDefault="004836FA" w:rsidP="00D911AF">
      <w:pPr>
        <w:pStyle w:val="ECHRPara"/>
        <w:rPr>
          <w:lang w:val="fr-FR"/>
        </w:rPr>
      </w:pPr>
      <w:r w:rsidRPr="00D911AF">
        <w:rPr>
          <w:lang w:val="fr-FR"/>
        </w:rPr>
        <w:fldChar w:fldCharType="begin"/>
      </w:r>
      <w:r w:rsidRPr="00D911AF">
        <w:rPr>
          <w:lang w:val="fr-FR"/>
        </w:rPr>
        <w:instrText xml:space="preserve"> SEQ level0 \*arabic </w:instrText>
      </w:r>
      <w:r w:rsidRPr="00D911AF">
        <w:rPr>
          <w:lang w:val="fr-FR"/>
        </w:rPr>
        <w:fldChar w:fldCharType="separate"/>
      </w:r>
      <w:r w:rsidR="00D911AF" w:rsidRPr="00D911AF">
        <w:rPr>
          <w:noProof/>
          <w:lang w:val="fr-FR"/>
        </w:rPr>
        <w:t>38</w:t>
      </w:r>
      <w:r w:rsidRPr="00D911AF">
        <w:rPr>
          <w:lang w:val="fr-FR"/>
        </w:rPr>
        <w:fldChar w:fldCharType="end"/>
      </w:r>
      <w:r w:rsidRPr="00D911AF">
        <w:rPr>
          <w:lang w:val="fr-FR"/>
        </w:rPr>
        <w:t>.  La Cour juge approprié de calquer le taux des intérêts moratoires sur le taux d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intérêt de la facilité de prêt marginal de la Banque centrale européenne majoré de trois points de pourcentage.</w:t>
      </w:r>
    </w:p>
    <w:p w:rsidR="004836FA" w:rsidRPr="00D911AF" w:rsidRDefault="00052902" w:rsidP="00D911AF">
      <w:pPr>
        <w:pStyle w:val="ECHRTitle1"/>
        <w:rPr>
          <w:lang w:val="fr-FR"/>
        </w:rPr>
      </w:pPr>
      <w:r w:rsidRPr="00D911AF">
        <w:rPr>
          <w:lang w:val="fr-FR"/>
        </w:rPr>
        <w:t>PAR CES MOTIFS, LA COUR</w:t>
      </w:r>
      <w:r w:rsidR="004836FA" w:rsidRPr="00D911AF">
        <w:rPr>
          <w:lang w:val="fr-FR"/>
        </w:rPr>
        <w:t>, À L</w:t>
      </w:r>
      <w:r w:rsidR="00D911AF" w:rsidRPr="00D911AF">
        <w:rPr>
          <w:lang w:val="fr-FR"/>
        </w:rPr>
        <w:t>’</w:t>
      </w:r>
      <w:r w:rsidR="004836FA" w:rsidRPr="00D911AF">
        <w:rPr>
          <w:lang w:val="fr-FR"/>
        </w:rPr>
        <w:t>UNANIMITÉ,</w:t>
      </w:r>
    </w:p>
    <w:p w:rsidR="004836FA" w:rsidRPr="00D911AF" w:rsidRDefault="00262437" w:rsidP="00D911AF">
      <w:pPr>
        <w:pStyle w:val="JuList"/>
        <w:rPr>
          <w:lang w:val="fr-FR"/>
        </w:rPr>
      </w:pPr>
      <w:r w:rsidRPr="00D911AF">
        <w:rPr>
          <w:lang w:val="fr-FR"/>
        </w:rPr>
        <w:t>1</w:t>
      </w:r>
      <w:r w:rsidR="004836FA" w:rsidRPr="00D911AF">
        <w:rPr>
          <w:lang w:val="fr-FR"/>
        </w:rPr>
        <w:t>.  </w:t>
      </w:r>
      <w:r w:rsidR="004836FA" w:rsidRPr="00D911AF">
        <w:rPr>
          <w:i/>
          <w:lang w:val="fr-FR"/>
        </w:rPr>
        <w:t>Dit</w:t>
      </w:r>
      <w:r w:rsidR="004836FA" w:rsidRPr="00D911AF">
        <w:rPr>
          <w:lang w:val="fr-FR"/>
        </w:rPr>
        <w:t xml:space="preserve"> </w:t>
      </w:r>
      <w:r w:rsidR="00890581" w:rsidRPr="00D911AF">
        <w:rPr>
          <w:lang w:val="fr-FR"/>
        </w:rPr>
        <w:t>que l</w:t>
      </w:r>
      <w:r w:rsidR="00D911AF" w:rsidRPr="00D911AF">
        <w:rPr>
          <w:lang w:val="fr-FR"/>
        </w:rPr>
        <w:t>’</w:t>
      </w:r>
      <w:r w:rsidR="00890581" w:rsidRPr="00D911AF">
        <w:rPr>
          <w:lang w:val="fr-FR"/>
        </w:rPr>
        <w:t>État défendeur doit verser, dans les trois mois à compter du jour où l</w:t>
      </w:r>
      <w:r w:rsidR="00D911AF" w:rsidRPr="00D911AF">
        <w:rPr>
          <w:lang w:val="fr-FR"/>
        </w:rPr>
        <w:t>’</w:t>
      </w:r>
      <w:r w:rsidR="00890581" w:rsidRPr="00D911AF">
        <w:rPr>
          <w:lang w:val="fr-FR"/>
        </w:rPr>
        <w:t>arrêt sera devenu définitif conformément à l</w:t>
      </w:r>
      <w:r w:rsidR="00D911AF" w:rsidRPr="00D911AF">
        <w:rPr>
          <w:lang w:val="fr-FR"/>
        </w:rPr>
        <w:t>’</w:t>
      </w:r>
      <w:r w:rsidR="00890581" w:rsidRPr="00D911AF">
        <w:rPr>
          <w:lang w:val="fr-FR"/>
        </w:rPr>
        <w:t>article 44 § 2 de la Convention,</w:t>
      </w:r>
    </w:p>
    <w:p w:rsidR="004836FA" w:rsidRPr="00D911AF" w:rsidRDefault="00737ABB" w:rsidP="00D911AF">
      <w:pPr>
        <w:pStyle w:val="JuLista"/>
        <w:ind w:left="284"/>
        <w:rPr>
          <w:lang w:val="fr-FR"/>
        </w:rPr>
      </w:pPr>
      <w:r w:rsidRPr="00D911AF">
        <w:rPr>
          <w:lang w:val="fr-FR"/>
        </w:rPr>
        <w:t>a)  </w:t>
      </w:r>
      <w:r w:rsidR="004836FA" w:rsidRPr="00D911AF">
        <w:rPr>
          <w:lang w:val="fr-FR"/>
        </w:rPr>
        <w:t>les sommes suivantes </w:t>
      </w:r>
      <w:r w:rsidR="00C96C84" w:rsidRPr="00D911AF">
        <w:rPr>
          <w:lang w:val="fr-FR"/>
        </w:rPr>
        <w:t>pour dommage matériel </w:t>
      </w:r>
      <w:r w:rsidR="004836FA" w:rsidRPr="00D911AF">
        <w:rPr>
          <w:lang w:val="fr-FR"/>
        </w:rPr>
        <w:t>:</w:t>
      </w:r>
    </w:p>
    <w:p w:rsidR="00680DFF" w:rsidRPr="00D911AF" w:rsidRDefault="004836FA" w:rsidP="00D911AF">
      <w:pPr>
        <w:pStyle w:val="JuListi"/>
        <w:ind w:left="709"/>
        <w:rPr>
          <w:lang w:val="fr-FR"/>
        </w:rPr>
      </w:pPr>
      <w:r w:rsidRPr="00D911AF">
        <w:rPr>
          <w:lang w:val="fr-FR"/>
        </w:rPr>
        <w:t>i.</w:t>
      </w:r>
      <w:proofErr w:type="gramStart"/>
      <w:r w:rsidRPr="00D911AF">
        <w:rPr>
          <w:lang w:val="fr-FR"/>
        </w:rPr>
        <w:t> </w:t>
      </w:r>
      <w:r w:rsidR="00D911AF" w:rsidRPr="00D911AF">
        <w:rPr>
          <w:lang w:val="fr-FR"/>
        </w:rPr>
        <w:t>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F14D8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vertAlign w:val="superscript"/>
          <w:lang w:val="fr-FR"/>
        </w:rPr>
        <w:t> </w:t>
      </w:r>
      <w:r w:rsidR="00F14D89" w:rsidRPr="00D911AF">
        <w:rPr>
          <w:lang w:val="fr-FR"/>
        </w:rPr>
        <w:t xml:space="preserve">21838/10 : </w:t>
      </w:r>
      <w:r w:rsidR="001E036B" w:rsidRPr="00D911AF">
        <w:rPr>
          <w:rFonts w:ascii="Times New Roman" w:hAnsi="Times New Roman" w:cs="Times New Roman"/>
          <w:lang w:val="fr-FR"/>
        </w:rPr>
        <w:t>146 508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(cent </w:t>
      </w:r>
      <w:r w:rsidR="005831D3" w:rsidRPr="00D911AF">
        <w:rPr>
          <w:lang w:val="fr-FR"/>
        </w:rPr>
        <w:t>quarante-six mille cinq cent huit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680DFF" w:rsidRPr="00D911AF" w:rsidRDefault="00AF5467" w:rsidP="00D911AF">
      <w:pPr>
        <w:pStyle w:val="JuListi"/>
        <w:ind w:left="709"/>
        <w:rPr>
          <w:lang w:val="fr-FR"/>
        </w:rPr>
      </w:pPr>
      <w:r w:rsidRPr="00D911AF">
        <w:rPr>
          <w:lang w:val="fr-FR"/>
        </w:rPr>
        <w:t>ii.</w:t>
      </w:r>
      <w:proofErr w:type="gramStart"/>
      <w:r w:rsidRPr="00D911AF">
        <w:rPr>
          <w:lang w:val="fr-FR"/>
        </w:rPr>
        <w:t> </w:t>
      </w:r>
      <w:r w:rsidR="00D911AF" w:rsidRPr="00D911AF">
        <w:rPr>
          <w:lang w:val="fr-FR"/>
        </w:rPr>
        <w:t>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vertAlign w:val="superscript"/>
          <w:lang w:val="fr-FR"/>
        </w:rPr>
        <w:t> </w:t>
      </w:r>
      <w:r w:rsidR="0085280E" w:rsidRPr="00D911AF">
        <w:rPr>
          <w:lang w:val="fr-FR"/>
        </w:rPr>
        <w:t xml:space="preserve">21849/10 : </w:t>
      </w:r>
      <w:r w:rsidR="006B2E2C" w:rsidRPr="00D911AF">
        <w:rPr>
          <w:rFonts w:ascii="Times New Roman" w:hAnsi="Times New Roman" w:cs="Times New Roman"/>
          <w:lang w:val="fr-FR"/>
        </w:rPr>
        <w:t>100 517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</w:t>
      </w:r>
      <w:r w:rsidR="005831D3" w:rsidRPr="00D911AF">
        <w:rPr>
          <w:lang w:val="fr-FR"/>
        </w:rPr>
        <w:t>cent mille cinq cent dix-sept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680DFF" w:rsidRPr="00D911AF" w:rsidRDefault="00AF5467" w:rsidP="00D911AF">
      <w:pPr>
        <w:pStyle w:val="JuListi"/>
        <w:ind w:left="720"/>
        <w:rPr>
          <w:lang w:val="fr-FR"/>
        </w:rPr>
      </w:pPr>
      <w:r w:rsidRPr="00D911AF">
        <w:rPr>
          <w:lang w:val="fr-FR"/>
        </w:rPr>
        <w:t>iii.</w:t>
      </w:r>
      <w:proofErr w:type="gramStart"/>
      <w:r w:rsidRPr="00D911AF">
        <w:rPr>
          <w:lang w:val="fr-FR"/>
        </w:rPr>
        <w:t> </w:t>
      </w:r>
      <w:r w:rsidR="00D911AF" w:rsidRPr="00D911AF">
        <w:rPr>
          <w:lang w:val="fr-FR"/>
        </w:rPr>
        <w:t>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lang w:val="fr-FR"/>
        </w:rPr>
        <w:t> </w:t>
      </w:r>
      <w:r w:rsidR="00574C20" w:rsidRPr="00D911AF">
        <w:rPr>
          <w:lang w:val="fr-FR"/>
        </w:rPr>
        <w:t xml:space="preserve">21852/10 </w:t>
      </w:r>
      <w:r w:rsidR="00C96C84" w:rsidRPr="00D911AF">
        <w:rPr>
          <w:lang w:val="fr-FR"/>
        </w:rPr>
        <w:t xml:space="preserve">: </w:t>
      </w:r>
      <w:r w:rsidR="006B2E2C" w:rsidRPr="00D911AF">
        <w:rPr>
          <w:rFonts w:ascii="Times New Roman" w:hAnsi="Times New Roman" w:cs="Times New Roman"/>
          <w:lang w:val="fr-FR"/>
        </w:rPr>
        <w:t>159 922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(cent </w:t>
      </w:r>
      <w:r w:rsidR="005831D3" w:rsidRPr="00D911AF">
        <w:rPr>
          <w:lang w:val="fr-FR"/>
        </w:rPr>
        <w:t>cinquante-neuf mille neuf cent vingt-deux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680DFF" w:rsidRPr="00D911AF" w:rsidRDefault="00AF5467" w:rsidP="00D911AF">
      <w:pPr>
        <w:pStyle w:val="JuListi"/>
        <w:ind w:left="720"/>
        <w:rPr>
          <w:lang w:val="fr-FR"/>
        </w:rPr>
      </w:pPr>
      <w:r w:rsidRPr="00D911AF">
        <w:rPr>
          <w:lang w:val="fr-FR"/>
        </w:rPr>
        <w:t>iv.</w:t>
      </w:r>
      <w:proofErr w:type="gramStart"/>
      <w:r w:rsidR="00D911AF" w:rsidRPr="00D911AF">
        <w:rPr>
          <w:lang w:val="fr-FR"/>
        </w:rPr>
        <w:t> </w:t>
      </w:r>
      <w:r w:rsidRPr="00D911AF">
        <w:rPr>
          <w:lang w:val="fr-FR"/>
        </w:rPr>
        <w:t>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lang w:val="fr-FR"/>
        </w:rPr>
        <w:t> </w:t>
      </w:r>
      <w:r w:rsidR="00574C20" w:rsidRPr="00D911AF">
        <w:rPr>
          <w:lang w:val="fr-FR"/>
        </w:rPr>
        <w:t xml:space="preserve">21855/10 </w:t>
      </w:r>
      <w:r w:rsidR="00C96C84" w:rsidRPr="00D911AF">
        <w:rPr>
          <w:lang w:val="fr-FR"/>
        </w:rPr>
        <w:t xml:space="preserve">: </w:t>
      </w:r>
      <w:r w:rsidR="006B2E2C" w:rsidRPr="00D911AF">
        <w:rPr>
          <w:lang w:val="fr-FR"/>
        </w:rPr>
        <w:t>167 601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(cent </w:t>
      </w:r>
      <w:r w:rsidR="00BD421D" w:rsidRPr="00D911AF">
        <w:rPr>
          <w:lang w:val="fr-FR"/>
        </w:rPr>
        <w:t>soixante-sept mille six cent</w:t>
      </w:r>
      <w:r w:rsidR="005932A9" w:rsidRPr="00D911AF">
        <w:rPr>
          <w:lang w:val="fr-FR"/>
        </w:rPr>
        <w:t xml:space="preserve"> </w:t>
      </w:r>
      <w:r w:rsidR="005831D3" w:rsidRPr="00D911AF">
        <w:rPr>
          <w:lang w:val="fr-FR"/>
        </w:rPr>
        <w:t>un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680DFF" w:rsidRPr="00D911AF" w:rsidRDefault="00AF5467" w:rsidP="00D911AF">
      <w:pPr>
        <w:pStyle w:val="JuListi"/>
        <w:ind w:left="720" w:hanging="11"/>
        <w:rPr>
          <w:lang w:val="fr-FR"/>
        </w:rPr>
      </w:pPr>
      <w:r w:rsidRPr="00D911AF">
        <w:rPr>
          <w:lang w:val="fr-FR"/>
        </w:rPr>
        <w:t>v.</w:t>
      </w:r>
      <w:proofErr w:type="gramStart"/>
      <w:r w:rsidR="00D911AF" w:rsidRPr="00D911AF">
        <w:rPr>
          <w:lang w:val="fr-FR"/>
        </w:rPr>
        <w:t> </w:t>
      </w:r>
      <w:r w:rsidRPr="00D911AF">
        <w:rPr>
          <w:lang w:val="fr-FR"/>
        </w:rPr>
        <w:t>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vertAlign w:val="superscript"/>
          <w:lang w:val="fr-FR"/>
        </w:rPr>
        <w:t> </w:t>
      </w:r>
      <w:r w:rsidR="00574C20" w:rsidRPr="00D911AF">
        <w:rPr>
          <w:lang w:val="fr-FR"/>
        </w:rPr>
        <w:t xml:space="preserve">21860/10 </w:t>
      </w:r>
      <w:r w:rsidR="00C96C84" w:rsidRPr="00D911AF">
        <w:rPr>
          <w:lang w:val="fr-FR"/>
        </w:rPr>
        <w:t xml:space="preserve">: </w:t>
      </w:r>
      <w:r w:rsidR="006B2E2C" w:rsidRPr="00D911AF">
        <w:rPr>
          <w:lang w:val="fr-FR"/>
        </w:rPr>
        <w:t>166 158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(cent </w:t>
      </w:r>
      <w:r w:rsidR="005831D3" w:rsidRPr="00D911AF">
        <w:rPr>
          <w:lang w:val="fr-FR"/>
        </w:rPr>
        <w:t>soixante-six mille cent cinquante-huit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680DFF" w:rsidRPr="00D911AF" w:rsidRDefault="00AF5467" w:rsidP="00D911AF">
      <w:pPr>
        <w:pStyle w:val="JuListi"/>
        <w:ind w:left="720"/>
        <w:rPr>
          <w:lang w:val="fr-FR"/>
        </w:rPr>
      </w:pPr>
      <w:r w:rsidRPr="00D911AF">
        <w:rPr>
          <w:lang w:val="fr-FR"/>
        </w:rPr>
        <w:t>vi.</w:t>
      </w:r>
      <w:proofErr w:type="gramStart"/>
      <w:r w:rsidR="00D911AF" w:rsidRPr="00D911AF">
        <w:rPr>
          <w:lang w:val="fr-FR"/>
        </w:rPr>
        <w:t> 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vertAlign w:val="superscript"/>
          <w:lang w:val="fr-FR"/>
        </w:rPr>
        <w:t> </w:t>
      </w:r>
      <w:r w:rsidR="00574C20" w:rsidRPr="00D911AF">
        <w:rPr>
          <w:lang w:val="fr-FR"/>
        </w:rPr>
        <w:t xml:space="preserve">21863/10 </w:t>
      </w:r>
      <w:r w:rsidR="00C96C84" w:rsidRPr="00D911AF">
        <w:rPr>
          <w:lang w:val="fr-FR"/>
        </w:rPr>
        <w:t xml:space="preserve">: </w:t>
      </w:r>
      <w:r w:rsidR="006B2E2C" w:rsidRPr="00D911AF">
        <w:rPr>
          <w:lang w:val="fr-FR"/>
        </w:rPr>
        <w:t>72 088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</w:t>
      </w:r>
      <w:r w:rsidR="005831D3" w:rsidRPr="00D911AF">
        <w:rPr>
          <w:lang w:val="fr-FR"/>
        </w:rPr>
        <w:t>soixante-douze mille quatre-vingt-huit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680DFF" w:rsidRPr="00D911AF" w:rsidRDefault="00AF5467" w:rsidP="00D911AF">
      <w:pPr>
        <w:pStyle w:val="JuListi"/>
        <w:ind w:left="709"/>
        <w:rPr>
          <w:lang w:val="fr-FR"/>
        </w:rPr>
      </w:pPr>
      <w:r w:rsidRPr="00D911AF">
        <w:rPr>
          <w:lang w:val="fr-FR"/>
        </w:rPr>
        <w:t>vii.</w:t>
      </w:r>
      <w:proofErr w:type="gramStart"/>
      <w:r w:rsidRPr="00D911AF">
        <w:rPr>
          <w:lang w:val="fr-FR"/>
        </w:rPr>
        <w:t> </w:t>
      </w:r>
      <w:r w:rsidR="00D911AF" w:rsidRPr="00D911AF">
        <w:rPr>
          <w:lang w:val="fr-FR"/>
        </w:rPr>
        <w:t> </w:t>
      </w:r>
      <w:r w:rsidR="00077BD6" w:rsidRPr="00D911AF">
        <w:rPr>
          <w:lang w:val="fr-FR"/>
        </w:rPr>
        <w:t>au</w:t>
      </w:r>
      <w:proofErr w:type="gramEnd"/>
      <w:r w:rsidR="00077BD6" w:rsidRPr="00D911AF">
        <w:rPr>
          <w:lang w:val="fr-FR"/>
        </w:rPr>
        <w:t xml:space="preserve">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AF2748" w:rsidRPr="00D911AF">
        <w:rPr>
          <w:vertAlign w:val="superscript"/>
          <w:lang w:val="fr-FR"/>
        </w:rPr>
        <w:t> </w:t>
      </w:r>
      <w:r w:rsidR="00574C20" w:rsidRPr="00D911AF">
        <w:rPr>
          <w:lang w:val="fr-FR"/>
        </w:rPr>
        <w:t xml:space="preserve">21869/10 </w:t>
      </w:r>
      <w:r w:rsidR="00C96C84" w:rsidRPr="00D911AF">
        <w:rPr>
          <w:lang w:val="fr-FR"/>
        </w:rPr>
        <w:t xml:space="preserve">: </w:t>
      </w:r>
      <w:r w:rsidR="006B2E2C" w:rsidRPr="00D911AF">
        <w:rPr>
          <w:lang w:val="fr-FR"/>
        </w:rPr>
        <w:t>47 382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r w:rsidR="00C96C84" w:rsidRPr="00D911AF">
        <w:rPr>
          <w:lang w:val="fr-FR"/>
        </w:rPr>
        <w:t xml:space="preserve"> (</w:t>
      </w:r>
      <w:r w:rsidR="005831D3" w:rsidRPr="00D911AF">
        <w:rPr>
          <w:lang w:val="fr-FR"/>
        </w:rPr>
        <w:t>quarante-sept mille trois cent quatre-vingt-deux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,</w:t>
      </w:r>
    </w:p>
    <w:p w:rsidR="00890581" w:rsidRPr="00D911AF" w:rsidRDefault="00AF5467" w:rsidP="00D911AF">
      <w:pPr>
        <w:pStyle w:val="JuListi"/>
        <w:ind w:left="709"/>
        <w:rPr>
          <w:lang w:val="fr-FR"/>
        </w:rPr>
      </w:pPr>
      <w:r w:rsidRPr="00D911AF">
        <w:rPr>
          <w:lang w:val="fr-FR"/>
        </w:rPr>
        <w:t>viii. </w:t>
      </w:r>
      <w:r w:rsidR="00077BD6" w:rsidRPr="00D911AF">
        <w:rPr>
          <w:lang w:val="fr-FR"/>
        </w:rPr>
        <w:t xml:space="preserve">au requérant de la </w:t>
      </w:r>
      <w:r w:rsidR="00D805D9" w:rsidRPr="00D911AF">
        <w:rPr>
          <w:lang w:val="fr-FR"/>
        </w:rPr>
        <w:t>requête n</w:t>
      </w:r>
      <w:r w:rsidR="00144EF8" w:rsidRPr="00D911AF">
        <w:rPr>
          <w:vertAlign w:val="superscript"/>
          <w:lang w:val="fr-FR"/>
        </w:rPr>
        <w:t>o</w:t>
      </w:r>
      <w:r w:rsidR="00D805D9" w:rsidRPr="00D911AF">
        <w:rPr>
          <w:lang w:val="fr-FR"/>
        </w:rPr>
        <w:t xml:space="preserve"> </w:t>
      </w:r>
      <w:r w:rsidR="00574C20" w:rsidRPr="00D911AF">
        <w:rPr>
          <w:lang w:val="fr-FR"/>
        </w:rPr>
        <w:t xml:space="preserve">21870/10 : </w:t>
      </w:r>
      <w:r w:rsidR="006B2E2C" w:rsidRPr="00D911AF">
        <w:rPr>
          <w:lang w:val="fr-FR"/>
        </w:rPr>
        <w:t>14 786</w:t>
      </w:r>
      <w:r w:rsidR="0080223B" w:rsidRPr="00D911AF">
        <w:rPr>
          <w:lang w:val="fr-FR"/>
        </w:rPr>
        <w:t xml:space="preserve"> </w:t>
      </w:r>
      <w:r w:rsidR="00680DFF" w:rsidRPr="00D911AF">
        <w:rPr>
          <w:lang w:val="fr-FR"/>
        </w:rPr>
        <w:t>EUR</w:t>
      </w:r>
      <w:proofErr w:type="gramStart"/>
      <w:r w:rsidR="00680DFF" w:rsidRPr="00D911AF">
        <w:rPr>
          <w:lang w:val="fr-FR"/>
        </w:rPr>
        <w:t> </w:t>
      </w:r>
      <w:r w:rsidR="00C96C84" w:rsidRPr="00D911AF">
        <w:rPr>
          <w:lang w:val="fr-FR"/>
        </w:rPr>
        <w:t xml:space="preserve"> (</w:t>
      </w:r>
      <w:proofErr w:type="gramEnd"/>
      <w:r w:rsidR="005831D3" w:rsidRPr="00D911AF">
        <w:rPr>
          <w:lang w:val="fr-FR"/>
        </w:rPr>
        <w:t>quatorze mille sept cent quatre-vingt-six</w:t>
      </w:r>
      <w:r w:rsidR="00C96C84" w:rsidRPr="00D911AF">
        <w:rPr>
          <w:lang w:val="fr-FR"/>
        </w:rPr>
        <w:t xml:space="preserve"> euros)</w:t>
      </w:r>
      <w:r w:rsidR="002138CA" w:rsidRPr="00D911AF">
        <w:rPr>
          <w:lang w:val="fr-FR"/>
        </w:rPr>
        <w:t> ;</w:t>
      </w:r>
    </w:p>
    <w:p w:rsidR="00890581" w:rsidRPr="00D911AF" w:rsidRDefault="004836FA" w:rsidP="00D911AF">
      <w:pPr>
        <w:pStyle w:val="JuLista"/>
        <w:rPr>
          <w:lang w:val="fr-FR"/>
        </w:rPr>
      </w:pPr>
      <w:r w:rsidRPr="00D911AF">
        <w:rPr>
          <w:lang w:val="fr-FR"/>
        </w:rPr>
        <w:lastRenderedPageBreak/>
        <w:t>b)  </w:t>
      </w:r>
      <w:r w:rsidR="00397024" w:rsidRPr="00D911AF">
        <w:rPr>
          <w:lang w:val="fr-FR"/>
        </w:rPr>
        <w:t>5</w:t>
      </w:r>
      <w:r w:rsidR="0071175C" w:rsidRPr="00D911AF">
        <w:rPr>
          <w:lang w:val="fr-FR"/>
        </w:rPr>
        <w:t xml:space="preserve"> </w:t>
      </w:r>
      <w:r w:rsidR="00397024" w:rsidRPr="00D911AF">
        <w:rPr>
          <w:lang w:val="fr-FR"/>
        </w:rPr>
        <w:t>00</w:t>
      </w:r>
      <w:r w:rsidR="0071175C" w:rsidRPr="00D911AF">
        <w:rPr>
          <w:lang w:val="fr-FR"/>
        </w:rPr>
        <w:t>0</w:t>
      </w:r>
      <w:r w:rsidR="00890581" w:rsidRPr="00D911AF">
        <w:rPr>
          <w:lang w:val="fr-FR"/>
        </w:rPr>
        <w:t xml:space="preserve"> EUR </w:t>
      </w:r>
      <w:r w:rsidR="0071175C" w:rsidRPr="00D911AF">
        <w:rPr>
          <w:lang w:val="fr-FR"/>
        </w:rPr>
        <w:t xml:space="preserve">(cinq mille euros) </w:t>
      </w:r>
      <w:r w:rsidR="00890581" w:rsidRPr="00D911AF">
        <w:rPr>
          <w:lang w:val="fr-FR"/>
        </w:rPr>
        <w:t xml:space="preserve">pour frais et dépens, </w:t>
      </w:r>
      <w:r w:rsidR="0071175C" w:rsidRPr="00D911AF">
        <w:rPr>
          <w:lang w:val="fr-FR"/>
        </w:rPr>
        <w:t>conjointement</w:t>
      </w:r>
      <w:r w:rsidR="00890581" w:rsidRPr="00D911AF">
        <w:rPr>
          <w:lang w:val="fr-FR"/>
        </w:rPr>
        <w:t xml:space="preserve"> </w:t>
      </w:r>
      <w:r w:rsidR="0071175C" w:rsidRPr="00D911AF">
        <w:rPr>
          <w:lang w:val="fr-FR"/>
        </w:rPr>
        <w:t xml:space="preserve">aux </w:t>
      </w:r>
      <w:r w:rsidR="00890581" w:rsidRPr="00D911AF">
        <w:rPr>
          <w:lang w:val="fr-FR"/>
        </w:rPr>
        <w:t>requérant</w:t>
      </w:r>
      <w:r w:rsidR="0071175C" w:rsidRPr="00D911AF">
        <w:rPr>
          <w:lang w:val="fr-FR"/>
        </w:rPr>
        <w:t>s</w:t>
      </w:r>
      <w:r w:rsidR="00890581" w:rsidRPr="00D911AF">
        <w:rPr>
          <w:lang w:val="fr-FR"/>
        </w:rPr>
        <w:t>, plus tout montant pouvant être dû à titre d</w:t>
      </w:r>
      <w:r w:rsidR="00D911AF" w:rsidRPr="00D911AF">
        <w:rPr>
          <w:lang w:val="fr-FR"/>
        </w:rPr>
        <w:t>’</w:t>
      </w:r>
      <w:r w:rsidR="00890581" w:rsidRPr="00D911AF">
        <w:rPr>
          <w:lang w:val="fr-FR"/>
        </w:rPr>
        <w:t xml:space="preserve">impôt par </w:t>
      </w:r>
      <w:r w:rsidR="001E022D" w:rsidRPr="00D911AF">
        <w:rPr>
          <w:lang w:val="fr-FR"/>
        </w:rPr>
        <w:t>eux </w:t>
      </w:r>
      <w:r w:rsidR="00890581" w:rsidRPr="00D911AF">
        <w:rPr>
          <w:lang w:val="fr-FR"/>
        </w:rPr>
        <w:t>;</w:t>
      </w:r>
    </w:p>
    <w:p w:rsidR="004836FA" w:rsidRPr="00D911AF" w:rsidRDefault="00AF5467" w:rsidP="00D911AF">
      <w:pPr>
        <w:pStyle w:val="JuLista"/>
        <w:rPr>
          <w:lang w:val="fr-FR"/>
        </w:rPr>
      </w:pPr>
      <w:r w:rsidRPr="00D911AF">
        <w:rPr>
          <w:lang w:val="fr-FR"/>
        </w:rPr>
        <w:t>c)  </w:t>
      </w:r>
      <w:r w:rsidR="004836FA" w:rsidRPr="00D911AF">
        <w:rPr>
          <w:lang w:val="fr-FR"/>
        </w:rPr>
        <w:t>qu</w:t>
      </w:r>
      <w:r w:rsidR="00D911AF" w:rsidRPr="00D911AF">
        <w:rPr>
          <w:lang w:val="fr-FR"/>
        </w:rPr>
        <w:t>’</w:t>
      </w:r>
      <w:r w:rsidR="004836FA" w:rsidRPr="00D911AF">
        <w:rPr>
          <w:lang w:val="fr-FR"/>
        </w:rPr>
        <w:t>à compter de l</w:t>
      </w:r>
      <w:r w:rsidR="00D911AF" w:rsidRPr="00D911AF">
        <w:rPr>
          <w:lang w:val="fr-FR"/>
        </w:rPr>
        <w:t>’</w:t>
      </w:r>
      <w:r w:rsidR="004836FA" w:rsidRPr="00D911AF">
        <w:rPr>
          <w:lang w:val="fr-FR"/>
        </w:rPr>
        <w:t>expiration dudit délai et jusqu</w:t>
      </w:r>
      <w:r w:rsidR="00D911AF" w:rsidRPr="00D911AF">
        <w:rPr>
          <w:lang w:val="fr-FR"/>
        </w:rPr>
        <w:t>’</w:t>
      </w:r>
      <w:r w:rsidR="004836FA" w:rsidRPr="00D911AF">
        <w:rPr>
          <w:lang w:val="fr-FR"/>
        </w:rPr>
        <w:t>au versement, ces montant</w:t>
      </w:r>
      <w:r w:rsidR="00514608" w:rsidRPr="00D911AF">
        <w:rPr>
          <w:lang w:val="fr-FR"/>
        </w:rPr>
        <w:t>s ser</w:t>
      </w:r>
      <w:r w:rsidR="004836FA" w:rsidRPr="00D911AF">
        <w:rPr>
          <w:lang w:val="fr-FR"/>
        </w:rPr>
        <w:t>ont à majorer d</w:t>
      </w:r>
      <w:r w:rsidR="00D911AF" w:rsidRPr="00D911AF">
        <w:rPr>
          <w:lang w:val="fr-FR"/>
        </w:rPr>
        <w:t>’</w:t>
      </w:r>
      <w:r w:rsidR="004836FA" w:rsidRPr="00D911AF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4836FA" w:rsidRPr="00D911AF" w:rsidRDefault="004836FA" w:rsidP="00D911AF">
      <w:pPr>
        <w:pStyle w:val="JuLista"/>
        <w:rPr>
          <w:lang w:val="fr-FR"/>
        </w:rPr>
      </w:pPr>
    </w:p>
    <w:p w:rsidR="00052902" w:rsidRPr="00D911AF" w:rsidRDefault="00890581" w:rsidP="00D911AF">
      <w:pPr>
        <w:pStyle w:val="JuList"/>
        <w:rPr>
          <w:lang w:val="fr-FR"/>
        </w:rPr>
      </w:pPr>
      <w:r w:rsidRPr="00D911AF">
        <w:rPr>
          <w:lang w:val="fr-FR"/>
        </w:rPr>
        <w:t>2</w:t>
      </w:r>
      <w:r w:rsidR="004836FA" w:rsidRPr="00D911AF">
        <w:rPr>
          <w:lang w:val="fr-FR"/>
        </w:rPr>
        <w:t>.  </w:t>
      </w:r>
      <w:r w:rsidR="004836FA" w:rsidRPr="00D911AF">
        <w:rPr>
          <w:i/>
          <w:lang w:val="fr-FR"/>
        </w:rPr>
        <w:t>Rejette</w:t>
      </w:r>
      <w:r w:rsidR="004836FA" w:rsidRPr="00D911AF">
        <w:rPr>
          <w:lang w:val="fr-FR"/>
        </w:rPr>
        <w:t xml:space="preserve"> la demande de satisfaction équitable pour le surplus.</w:t>
      </w:r>
    </w:p>
    <w:p w:rsidR="004836FA" w:rsidRPr="00D911AF" w:rsidRDefault="00052902" w:rsidP="00D911AF">
      <w:pPr>
        <w:pStyle w:val="JuParaLast"/>
        <w:keepNext w:val="0"/>
        <w:keepLines w:val="0"/>
        <w:rPr>
          <w:lang w:val="fr-FR"/>
        </w:rPr>
      </w:pPr>
      <w:r w:rsidRPr="00D911AF">
        <w:rPr>
          <w:lang w:val="fr-FR"/>
        </w:rPr>
        <w:t xml:space="preserve">Fait en français, puis communiqué par écrit le </w:t>
      </w:r>
      <w:r w:rsidR="00737ABB" w:rsidRPr="00D911AF">
        <w:rPr>
          <w:lang w:val="fr-FR"/>
        </w:rPr>
        <w:t>1</w:t>
      </w:r>
      <w:r w:rsidR="00737ABB" w:rsidRPr="00D911AF">
        <w:rPr>
          <w:vertAlign w:val="superscript"/>
          <w:lang w:val="fr-FR"/>
        </w:rPr>
        <w:t>er</w:t>
      </w:r>
      <w:r w:rsidR="00737ABB" w:rsidRPr="00D911AF">
        <w:rPr>
          <w:lang w:val="fr-FR"/>
        </w:rPr>
        <w:t xml:space="preserve"> juin 2017</w:t>
      </w:r>
      <w:r w:rsidRPr="00D911AF">
        <w:rPr>
          <w:lang w:val="fr-FR"/>
        </w:rPr>
        <w:t>, en application de l</w:t>
      </w:r>
      <w:r w:rsidR="00D911AF" w:rsidRPr="00D911AF">
        <w:rPr>
          <w:lang w:val="fr-FR"/>
        </w:rPr>
        <w:t>’</w:t>
      </w:r>
      <w:r w:rsidRPr="00D911AF">
        <w:rPr>
          <w:lang w:val="fr-FR"/>
        </w:rPr>
        <w:t>article 77 §§ 2 et 3 du règlement</w:t>
      </w:r>
      <w:r w:rsidR="00841E59" w:rsidRPr="00D911AF">
        <w:rPr>
          <w:lang w:val="fr-FR"/>
        </w:rPr>
        <w:t xml:space="preserve"> de la Cour</w:t>
      </w:r>
      <w:r w:rsidRPr="00D911AF">
        <w:rPr>
          <w:lang w:val="fr-FR"/>
        </w:rPr>
        <w:t>.</w:t>
      </w:r>
    </w:p>
    <w:p w:rsidR="00052902" w:rsidRPr="00D911AF" w:rsidRDefault="004836FA" w:rsidP="00D911AF">
      <w:pPr>
        <w:pStyle w:val="JuSigned"/>
        <w:tabs>
          <w:tab w:val="clear" w:pos="6407"/>
          <w:tab w:val="center" w:pos="6096"/>
        </w:tabs>
        <w:rPr>
          <w:lang w:val="fr-FR"/>
        </w:rPr>
      </w:pPr>
      <w:r w:rsidRPr="00D911AF">
        <w:rPr>
          <w:lang w:val="fr-FR"/>
        </w:rPr>
        <w:tab/>
      </w:r>
      <w:r w:rsidR="00737ABB" w:rsidRPr="00D911AF">
        <w:rPr>
          <w:lang w:val="fr-FR"/>
        </w:rPr>
        <w:t xml:space="preserve">Renata </w:t>
      </w:r>
      <w:proofErr w:type="spellStart"/>
      <w:r w:rsidR="00737ABB" w:rsidRPr="00D911AF">
        <w:rPr>
          <w:lang w:val="fr-FR"/>
        </w:rPr>
        <w:t>Degener</w:t>
      </w:r>
      <w:proofErr w:type="spellEnd"/>
      <w:r w:rsidR="00052902" w:rsidRPr="00D911AF">
        <w:rPr>
          <w:lang w:val="fr-FR"/>
        </w:rPr>
        <w:tab/>
      </w:r>
      <w:r w:rsidR="006D1F3B" w:rsidRPr="00D911AF">
        <w:rPr>
          <w:lang w:val="fr-FR"/>
        </w:rPr>
        <w:t xml:space="preserve">Linos-Alexandre </w:t>
      </w:r>
      <w:proofErr w:type="spellStart"/>
      <w:r w:rsidR="006D1F3B" w:rsidRPr="00D911AF">
        <w:rPr>
          <w:lang w:val="fr-FR"/>
        </w:rPr>
        <w:t>Sicilianos</w:t>
      </w:r>
      <w:proofErr w:type="spellEnd"/>
      <w:r w:rsidR="00052902" w:rsidRPr="00D911AF">
        <w:rPr>
          <w:lang w:val="fr-FR"/>
        </w:rPr>
        <w:br/>
      </w:r>
      <w:r w:rsidR="00052902" w:rsidRPr="00D911AF">
        <w:rPr>
          <w:lang w:val="fr-FR"/>
        </w:rPr>
        <w:tab/>
      </w:r>
      <w:r w:rsidR="00737ABB" w:rsidRPr="00D911AF">
        <w:rPr>
          <w:szCs w:val="24"/>
          <w:lang w:val="fr-FR"/>
        </w:rPr>
        <w:t>Greffière adjointe</w:t>
      </w:r>
      <w:r w:rsidR="00052902" w:rsidRPr="00D911AF">
        <w:rPr>
          <w:lang w:val="fr-FR"/>
        </w:rPr>
        <w:tab/>
      </w:r>
      <w:r w:rsidR="006D1F3B" w:rsidRPr="00D911AF">
        <w:rPr>
          <w:lang w:val="fr-FR"/>
        </w:rPr>
        <w:t>Président</w:t>
      </w:r>
    </w:p>
    <w:p w:rsidR="005B5072" w:rsidRPr="00D911AF" w:rsidRDefault="00B91A37" w:rsidP="00D911AF">
      <w:pPr>
        <w:rPr>
          <w:lang w:val="fr-FR"/>
        </w:rPr>
      </w:pPr>
      <w:r w:rsidRPr="00D911AF">
        <w:rPr>
          <w:lang w:val="fr-FR"/>
        </w:rPr>
        <w:br w:type="page"/>
      </w:r>
    </w:p>
    <w:p w:rsidR="005B5072" w:rsidRPr="00D911AF" w:rsidRDefault="00BE1248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lastRenderedPageBreak/>
        <w:t>ANNEXE I</w:t>
      </w:r>
    </w:p>
    <w:p w:rsidR="00585E1F" w:rsidRPr="00D911AF" w:rsidRDefault="00585E1F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t>Liste des requérants</w:t>
      </w:r>
    </w:p>
    <w:p w:rsidR="00585E1F" w:rsidRPr="00D911AF" w:rsidRDefault="00585E1F" w:rsidP="00D911AF">
      <w:pPr>
        <w:rPr>
          <w:lang w:val="fr-FR"/>
        </w:rPr>
      </w:pPr>
    </w:p>
    <w:tbl>
      <w:tblPr>
        <w:tblStyle w:val="ECHRListTable"/>
        <w:tblW w:w="0" w:type="auto"/>
        <w:tblLook w:val="05E0" w:firstRow="1" w:lastRow="1" w:firstColumn="1" w:lastColumn="1" w:noHBand="0" w:noVBand="1"/>
      </w:tblPr>
      <w:tblGrid>
        <w:gridCol w:w="1379"/>
        <w:gridCol w:w="1519"/>
        <w:gridCol w:w="4676"/>
      </w:tblGrid>
      <w:tr w:rsidR="00CC5E36" w:rsidRPr="00D911AF" w:rsidTr="00585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bookmarkStart w:id="3" w:name="AppTableStart"/>
            <w:bookmarkEnd w:id="3"/>
            <w:proofErr w:type="spellStart"/>
            <w:r w:rsidRPr="00D911AF">
              <w:t>Requête</w:t>
            </w:r>
            <w:proofErr w:type="spellEnd"/>
            <w:r w:rsidRPr="00D911AF">
              <w:t xml:space="preserve"> n</w:t>
            </w:r>
            <w:r w:rsidR="00144EF8" w:rsidRPr="00D911AF">
              <w:rPr>
                <w:vertAlign w:val="superscript"/>
              </w:rPr>
              <w:t>o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Introduite</w:t>
            </w:r>
            <w:proofErr w:type="spellEnd"/>
            <w:r w:rsidRPr="00D911AF">
              <w:t xml:space="preserve"> le</w:t>
            </w:r>
          </w:p>
        </w:tc>
        <w:tc>
          <w:tcPr>
            <w:tcW w:w="6141" w:type="dxa"/>
          </w:tcPr>
          <w:p w:rsidR="00CC5E36" w:rsidRPr="00D911AF" w:rsidRDefault="00CC5E36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>Requérant</w:t>
            </w:r>
          </w:p>
          <w:p w:rsidR="00CC5E36" w:rsidRPr="00D911AF" w:rsidRDefault="00CC5E36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>Date de naissance</w:t>
            </w:r>
          </w:p>
          <w:p w:rsidR="00CC5E36" w:rsidRPr="00D911AF" w:rsidRDefault="00CC5E36" w:rsidP="00D911AF">
            <w:pPr>
              <w:jc w:val="left"/>
              <w:rPr>
                <w:lang w:val="fr-FR"/>
              </w:rPr>
            </w:pPr>
            <w:r w:rsidRPr="00D911AF">
              <w:rPr>
                <w:lang w:val="fr-FR"/>
              </w:rPr>
              <w:t>Lieu de résidence</w:t>
            </w:r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21838/10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14/04/2010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r w:rsidRPr="00D911AF">
              <w:rPr>
                <w:b/>
              </w:rPr>
              <w:t>Emilio STEFANETTI</w:t>
            </w:r>
          </w:p>
          <w:p w:rsidR="00CC5E36" w:rsidRPr="00D911AF" w:rsidRDefault="00CC5E36" w:rsidP="00D911AF">
            <w:pPr>
              <w:jc w:val="left"/>
            </w:pPr>
            <w:r w:rsidRPr="00D911AF">
              <w:t>21/10/1940</w:t>
            </w:r>
          </w:p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Dubino</w:t>
            </w:r>
            <w:proofErr w:type="spellEnd"/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21849/10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14/04/2010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proofErr w:type="spellStart"/>
            <w:r w:rsidRPr="00D911AF">
              <w:rPr>
                <w:b/>
              </w:rPr>
              <w:t>Giovacchino</w:t>
            </w:r>
            <w:proofErr w:type="spellEnd"/>
            <w:r w:rsidRPr="00D911AF">
              <w:rPr>
                <w:b/>
              </w:rPr>
              <w:t xml:space="preserve"> RODELLI</w:t>
            </w:r>
          </w:p>
          <w:p w:rsidR="00CC5E36" w:rsidRPr="00D911AF" w:rsidRDefault="00CC5E36" w:rsidP="00D911AF">
            <w:pPr>
              <w:jc w:val="left"/>
            </w:pPr>
            <w:r w:rsidRPr="00D911AF">
              <w:t>18/03/1942</w:t>
            </w:r>
          </w:p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Talamona</w:t>
            </w:r>
            <w:proofErr w:type="spellEnd"/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21852/10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14/04/2010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r w:rsidRPr="00D911AF">
              <w:rPr>
                <w:b/>
              </w:rPr>
              <w:t>Roberto NEGRI</w:t>
            </w:r>
          </w:p>
          <w:p w:rsidR="00CC5E36" w:rsidRPr="00D911AF" w:rsidRDefault="00CC5E36" w:rsidP="00D911AF">
            <w:pPr>
              <w:jc w:val="left"/>
            </w:pPr>
            <w:r w:rsidRPr="00D911AF">
              <w:t>11/01/1937</w:t>
            </w:r>
          </w:p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Castione</w:t>
            </w:r>
            <w:proofErr w:type="spellEnd"/>
            <w:r w:rsidRPr="00D911AF">
              <w:t xml:space="preserve"> </w:t>
            </w:r>
            <w:proofErr w:type="spellStart"/>
            <w:r w:rsidRPr="00D911AF">
              <w:t>Andevenno</w:t>
            </w:r>
            <w:proofErr w:type="spellEnd"/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21855/10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13/04/2010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r w:rsidRPr="00D911AF">
              <w:rPr>
                <w:b/>
              </w:rPr>
              <w:t>Luigi DELLA NAVE</w:t>
            </w:r>
          </w:p>
          <w:p w:rsidR="00CC5E36" w:rsidRPr="00D911AF" w:rsidRDefault="00CC5E36" w:rsidP="00D911AF">
            <w:pPr>
              <w:jc w:val="left"/>
            </w:pPr>
            <w:r w:rsidRPr="00D911AF">
              <w:t>28/03/1933</w:t>
            </w:r>
          </w:p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Morbegno</w:t>
            </w:r>
            <w:proofErr w:type="spellEnd"/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21860/10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13/04/2010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proofErr w:type="spellStart"/>
            <w:r w:rsidRPr="00D911AF">
              <w:rPr>
                <w:b/>
              </w:rPr>
              <w:t>Gottardo</w:t>
            </w:r>
            <w:proofErr w:type="spellEnd"/>
            <w:r w:rsidRPr="00D911AF">
              <w:rPr>
                <w:b/>
              </w:rPr>
              <w:t xml:space="preserve"> DEL MAFFEO</w:t>
            </w:r>
          </w:p>
          <w:p w:rsidR="00CC5E36" w:rsidRPr="00D911AF" w:rsidRDefault="00CC5E36" w:rsidP="00D911AF">
            <w:pPr>
              <w:jc w:val="left"/>
            </w:pPr>
            <w:r w:rsidRPr="00D911AF">
              <w:t>20/10/1938</w:t>
            </w:r>
          </w:p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Spriana</w:t>
            </w:r>
            <w:proofErr w:type="spellEnd"/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21863/10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13/04/2010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  <w:lang w:val="it-IT"/>
              </w:rPr>
            </w:pPr>
            <w:r w:rsidRPr="00D911AF">
              <w:rPr>
                <w:b/>
                <w:lang w:val="it-IT"/>
              </w:rPr>
              <w:t>Rinaldo COTTA</w:t>
            </w:r>
          </w:p>
          <w:p w:rsidR="00CC5E36" w:rsidRPr="00D911AF" w:rsidRDefault="00CC5E36" w:rsidP="00D911AF">
            <w:pPr>
              <w:jc w:val="left"/>
              <w:rPr>
                <w:lang w:val="it-IT"/>
              </w:rPr>
            </w:pPr>
            <w:r w:rsidRPr="00D911AF">
              <w:rPr>
                <w:lang w:val="it-IT"/>
              </w:rPr>
              <w:t>14/08/1944</w:t>
            </w:r>
          </w:p>
          <w:p w:rsidR="00CC5E36" w:rsidRPr="00D911AF" w:rsidRDefault="00CC5E36" w:rsidP="00D911AF">
            <w:pPr>
              <w:jc w:val="left"/>
              <w:rPr>
                <w:lang w:val="it-IT"/>
              </w:rPr>
            </w:pPr>
            <w:r w:rsidRPr="00D911AF">
              <w:rPr>
                <w:lang w:val="it-IT"/>
              </w:rPr>
              <w:t>San Martino Val Masino</w:t>
            </w:r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21869/10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13/04/2010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proofErr w:type="spellStart"/>
            <w:r w:rsidRPr="00D911AF">
              <w:rPr>
                <w:b/>
              </w:rPr>
              <w:t>Fausto</w:t>
            </w:r>
            <w:proofErr w:type="spellEnd"/>
            <w:r w:rsidRPr="00D911AF">
              <w:rPr>
                <w:b/>
              </w:rPr>
              <w:t xml:space="preserve"> CURTI</w:t>
            </w:r>
          </w:p>
          <w:p w:rsidR="00CC5E36" w:rsidRPr="00D911AF" w:rsidRDefault="00CC5E36" w:rsidP="00D911AF">
            <w:pPr>
              <w:jc w:val="left"/>
            </w:pPr>
            <w:r w:rsidRPr="00D911AF">
              <w:t>28/05/1942</w:t>
            </w:r>
          </w:p>
          <w:p w:rsidR="00CC5E36" w:rsidRPr="00D911AF" w:rsidRDefault="00CC5E36" w:rsidP="00D911AF">
            <w:pPr>
              <w:jc w:val="left"/>
            </w:pPr>
            <w:proofErr w:type="spellStart"/>
            <w:r w:rsidRPr="00D911AF">
              <w:t>Verceia</w:t>
            </w:r>
            <w:proofErr w:type="spellEnd"/>
          </w:p>
        </w:tc>
      </w:tr>
      <w:tr w:rsidR="00CC5E36" w:rsidRPr="00D911AF" w:rsidTr="00585E1F">
        <w:tc>
          <w:tcPr>
            <w:tcW w:w="1506" w:type="dxa"/>
          </w:tcPr>
          <w:p w:rsidR="00CC5E36" w:rsidRPr="00D911AF" w:rsidRDefault="00CC5E36" w:rsidP="00D911AF">
            <w:pPr>
              <w:jc w:val="left"/>
            </w:pPr>
            <w:r w:rsidRPr="00D911AF">
              <w:t>21870/10</w:t>
            </w:r>
          </w:p>
        </w:tc>
        <w:tc>
          <w:tcPr>
            <w:tcW w:w="1623" w:type="dxa"/>
          </w:tcPr>
          <w:p w:rsidR="00CC5E36" w:rsidRPr="00D911AF" w:rsidRDefault="00CC5E36" w:rsidP="00D911AF">
            <w:pPr>
              <w:jc w:val="left"/>
            </w:pPr>
            <w:r w:rsidRPr="00D911AF">
              <w:t>13/04/2010</w:t>
            </w:r>
          </w:p>
        </w:tc>
        <w:tc>
          <w:tcPr>
            <w:tcW w:w="6141" w:type="dxa"/>
          </w:tcPr>
          <w:p w:rsidR="00144EF8" w:rsidRPr="00D911AF" w:rsidRDefault="00CC5E36" w:rsidP="00D911AF">
            <w:pPr>
              <w:jc w:val="left"/>
              <w:rPr>
                <w:b/>
              </w:rPr>
            </w:pPr>
            <w:r w:rsidRPr="00D911AF">
              <w:rPr>
                <w:b/>
              </w:rPr>
              <w:t>Luigi ANDREOLA</w:t>
            </w:r>
          </w:p>
          <w:p w:rsidR="00CC5E36" w:rsidRPr="00D911AF" w:rsidRDefault="00CC5E36" w:rsidP="00D911AF">
            <w:pPr>
              <w:jc w:val="left"/>
            </w:pPr>
            <w:r w:rsidRPr="00D911AF">
              <w:t>22/10/1944</w:t>
            </w:r>
          </w:p>
          <w:p w:rsidR="00CC5E36" w:rsidRPr="00D911AF" w:rsidRDefault="00737ABB" w:rsidP="00D911AF">
            <w:pPr>
              <w:jc w:val="left"/>
            </w:pPr>
            <w:proofErr w:type="spellStart"/>
            <w:r w:rsidRPr="00D911AF">
              <w:t>Tirano</w:t>
            </w:r>
            <w:proofErr w:type="spellEnd"/>
          </w:p>
        </w:tc>
      </w:tr>
    </w:tbl>
    <w:p w:rsidR="00737ABB" w:rsidRPr="00D911AF" w:rsidRDefault="00737ABB" w:rsidP="00D911AF">
      <w:pPr>
        <w:rPr>
          <w:lang w:val="fr-FR"/>
        </w:rPr>
        <w:sectPr w:rsidR="00737ABB" w:rsidRPr="00D911AF" w:rsidSect="00B91A37">
          <w:headerReference w:type="even" r:id="rId14"/>
          <w:headerReference w:type="default" r:id="rId15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BE1248" w:rsidRPr="00D911AF" w:rsidRDefault="00BE1248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lastRenderedPageBreak/>
        <w:t>ANNEXE II</w:t>
      </w:r>
    </w:p>
    <w:p w:rsidR="00FE2379" w:rsidRPr="00D911AF" w:rsidRDefault="00FE2379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t xml:space="preserve">Prétentions des </w:t>
      </w:r>
      <w:r w:rsidR="009A03A4" w:rsidRPr="00D911AF">
        <w:rPr>
          <w:b/>
          <w:lang w:val="fr-FR"/>
        </w:rPr>
        <w:t>requérant</w:t>
      </w:r>
      <w:r w:rsidR="00BE1248" w:rsidRPr="00D911AF">
        <w:rPr>
          <w:b/>
          <w:lang w:val="fr-FR"/>
        </w:rPr>
        <w:t>s et estimations du Gouvernement</w:t>
      </w:r>
    </w:p>
    <w:p w:rsidR="00720850" w:rsidRPr="00D911AF" w:rsidRDefault="00720850" w:rsidP="00D911AF">
      <w:pPr>
        <w:rPr>
          <w:lang w:val="fr-FR"/>
        </w:rPr>
      </w:pPr>
    </w:p>
    <w:tbl>
      <w:tblPr>
        <w:tblStyle w:val="Grigliatabella"/>
        <w:tblW w:w="11826" w:type="dxa"/>
        <w:jc w:val="center"/>
        <w:tblLook w:val="04A0" w:firstRow="1" w:lastRow="0" w:firstColumn="1" w:lastColumn="0" w:noHBand="0" w:noVBand="1"/>
      </w:tblPr>
      <w:tblGrid>
        <w:gridCol w:w="1319"/>
        <w:gridCol w:w="1822"/>
        <w:gridCol w:w="2833"/>
        <w:gridCol w:w="3266"/>
        <w:gridCol w:w="2586"/>
      </w:tblGrid>
      <w:tr w:rsidR="008E6BBA" w:rsidRPr="00D911AF" w:rsidTr="00E027AF">
        <w:trPr>
          <w:trHeight w:val="1430"/>
          <w:jc w:val="center"/>
        </w:trPr>
        <w:tc>
          <w:tcPr>
            <w:tcW w:w="1319" w:type="dxa"/>
            <w:shd w:val="clear" w:color="auto" w:fill="DFDFDF" w:themeFill="background2" w:themeFillShade="E6"/>
            <w:vAlign w:val="center"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proofErr w:type="spellStart"/>
            <w:r w:rsidRPr="00D911AF">
              <w:t>Requête</w:t>
            </w:r>
            <w:proofErr w:type="spellEnd"/>
            <w:r w:rsidRPr="00D911AF">
              <w:t xml:space="preserve"> n</w:t>
            </w:r>
            <w:r w:rsidRPr="00D911AF">
              <w:rPr>
                <w:vertAlign w:val="superscript"/>
                <w:lang w:val="fr-FR"/>
              </w:rPr>
              <w:t>o</w:t>
            </w:r>
          </w:p>
        </w:tc>
        <w:tc>
          <w:tcPr>
            <w:tcW w:w="1822" w:type="dxa"/>
            <w:shd w:val="clear" w:color="auto" w:fill="DFDFDF" w:themeFill="background2" w:themeFillShade="E6"/>
            <w:vAlign w:val="center"/>
            <w:hideMark/>
          </w:tcPr>
          <w:p w:rsidR="008E6BBA" w:rsidRPr="00D911AF" w:rsidRDefault="008E6BBA" w:rsidP="00D911AF">
            <w:pPr>
              <w:jc w:val="center"/>
            </w:pPr>
            <w:r w:rsidRPr="00D911AF">
              <w:t xml:space="preserve">Nom des </w:t>
            </w:r>
            <w:proofErr w:type="spellStart"/>
            <w:r w:rsidRPr="00D911AF">
              <w:t>requérants</w:t>
            </w:r>
            <w:proofErr w:type="spellEnd"/>
          </w:p>
        </w:tc>
        <w:tc>
          <w:tcPr>
            <w:tcW w:w="2833" w:type="dxa"/>
            <w:shd w:val="clear" w:color="auto" w:fill="DFDFDF" w:themeFill="background2" w:themeFillShade="E6"/>
            <w:vAlign w:val="center"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r w:rsidRPr="00D911AF">
              <w:rPr>
                <w:rFonts w:cstheme="minorHAnsi"/>
                <w:lang w:val="fr-FR"/>
              </w:rPr>
              <w:t>Différence</w:t>
            </w:r>
            <w:r w:rsidRPr="00D911AF">
              <w:rPr>
                <w:lang w:val="fr-FR"/>
              </w:rPr>
              <w:t xml:space="preserve"> entre ce que les requérants auraient obtenu en l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absence de la loi et ce qu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ils ont perçu (arriérés jusqu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à la fin de vie estimée), équivalant au dommage matériel demandé par les requérants</w:t>
            </w:r>
          </w:p>
        </w:tc>
        <w:tc>
          <w:tcPr>
            <w:tcW w:w="3266" w:type="dxa"/>
            <w:shd w:val="clear" w:color="auto" w:fill="DFDFDF" w:themeFill="background2" w:themeFillShade="E6"/>
            <w:vAlign w:val="center"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r w:rsidRPr="00D911AF">
              <w:rPr>
                <w:rFonts w:cstheme="minorHAnsi"/>
                <w:lang w:val="fr-FR"/>
              </w:rPr>
              <w:t>Différence</w:t>
            </w:r>
            <w:r w:rsidRPr="00D911AF">
              <w:rPr>
                <w:lang w:val="fr-FR"/>
              </w:rPr>
              <w:t>, selon le Gouvernement, entre ce que les requérants auraient obtenu en l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absence de la loi et ce qu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ils ont perçu à partir de la date de leur départ à la retraite jusqu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 xml:space="preserve">en 2006 </w:t>
            </w:r>
          </w:p>
        </w:tc>
        <w:tc>
          <w:tcPr>
            <w:tcW w:w="2586" w:type="dxa"/>
            <w:shd w:val="clear" w:color="auto" w:fill="DFDFDF" w:themeFill="background2" w:themeFillShade="E6"/>
            <w:vAlign w:val="center"/>
            <w:hideMark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Préjudice subi par les requérants, relevant de la « perte de chance »,</w:t>
            </w:r>
            <w:r w:rsidR="00D911AF" w:rsidRPr="00D911AF">
              <w:rPr>
                <w:lang w:val="fr-FR"/>
              </w:rPr>
              <w:t xml:space="preserve"> </w:t>
            </w:r>
            <w:r w:rsidRPr="00D911AF">
              <w:rPr>
                <w:lang w:val="fr-FR"/>
              </w:rPr>
              <w:t>à octroyer selon le Gouvernement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21838/10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Stefanetti</w:t>
            </w:r>
            <w:proofErr w:type="spellEnd"/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435 549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183 970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9 198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21849/10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Rodelli</w:t>
            </w:r>
            <w:proofErr w:type="spellEnd"/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394 309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127 824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6 391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21852/10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Negri</w:t>
            </w:r>
            <w:proofErr w:type="spellEnd"/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391 462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194 258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9 712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21855/10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>M. Della Nave</w:t>
            </w:r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452 878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242 449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12 122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21860/10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 xml:space="preserve">M. Del </w:t>
            </w:r>
            <w:proofErr w:type="spellStart"/>
            <w:r w:rsidRPr="00D911AF">
              <w:t>Maffeo</w:t>
            </w:r>
            <w:proofErr w:type="spellEnd"/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423 348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212 335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10 616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21863/10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>M. Cotta</w:t>
            </w:r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565 282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82 232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4 111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21869/10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Curti</w:t>
            </w:r>
            <w:proofErr w:type="spellEnd"/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375 771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84 075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4 203 EUR</w:t>
            </w:r>
          </w:p>
        </w:tc>
      </w:tr>
      <w:tr w:rsidR="008E6BBA" w:rsidRPr="00D911AF" w:rsidTr="00E027AF">
        <w:trPr>
          <w:trHeight w:val="300"/>
          <w:jc w:val="center"/>
        </w:trPr>
        <w:tc>
          <w:tcPr>
            <w:tcW w:w="1319" w:type="dxa"/>
          </w:tcPr>
          <w:p w:rsidR="008E6BBA" w:rsidRPr="00D911AF" w:rsidRDefault="008E6BBA" w:rsidP="00D911AF">
            <w:pPr>
              <w:jc w:val="right"/>
              <w:rPr>
                <w:lang w:val="fr-FR"/>
              </w:rPr>
            </w:pPr>
            <w:r w:rsidRPr="00D911AF">
              <w:rPr>
                <w:lang w:val="fr-FR"/>
              </w:rPr>
              <w:t>21870/10</w:t>
            </w:r>
          </w:p>
        </w:tc>
        <w:tc>
          <w:tcPr>
            <w:tcW w:w="1822" w:type="dxa"/>
            <w:hideMark/>
          </w:tcPr>
          <w:p w:rsidR="008E6BBA" w:rsidRPr="00D911AF" w:rsidRDefault="008E6BBA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Andreola</w:t>
            </w:r>
            <w:proofErr w:type="spellEnd"/>
          </w:p>
        </w:tc>
        <w:tc>
          <w:tcPr>
            <w:tcW w:w="2833" w:type="dxa"/>
          </w:tcPr>
          <w:p w:rsidR="008E6BBA" w:rsidRPr="00D911AF" w:rsidRDefault="008E6BBA" w:rsidP="00D911AF">
            <w:pPr>
              <w:jc w:val="right"/>
            </w:pPr>
            <w:r w:rsidRPr="00D911AF">
              <w:t>873 683 EUR</w:t>
            </w:r>
          </w:p>
        </w:tc>
        <w:tc>
          <w:tcPr>
            <w:tcW w:w="3266" w:type="dxa"/>
          </w:tcPr>
          <w:p w:rsidR="008E6BBA" w:rsidRPr="00D911AF" w:rsidRDefault="008E6BBA" w:rsidP="00D911AF">
            <w:pPr>
              <w:jc w:val="right"/>
            </w:pPr>
            <w:r w:rsidRPr="00D911AF">
              <w:t>56 232 EUR</w:t>
            </w:r>
          </w:p>
        </w:tc>
        <w:tc>
          <w:tcPr>
            <w:tcW w:w="2586" w:type="dxa"/>
            <w:noWrap/>
            <w:hideMark/>
          </w:tcPr>
          <w:p w:rsidR="008E6BBA" w:rsidRPr="00D911AF" w:rsidRDefault="008E6BBA" w:rsidP="00D911AF">
            <w:pPr>
              <w:jc w:val="right"/>
            </w:pPr>
            <w:r w:rsidRPr="00D911AF">
              <w:t>2 811 EUR</w:t>
            </w:r>
          </w:p>
        </w:tc>
      </w:tr>
    </w:tbl>
    <w:p w:rsidR="00720850" w:rsidRPr="00D911AF" w:rsidRDefault="00720850" w:rsidP="00D911AF">
      <w:pPr>
        <w:rPr>
          <w:lang w:val="fr-FR"/>
        </w:rPr>
      </w:pPr>
    </w:p>
    <w:p w:rsidR="00720850" w:rsidRPr="00D911AF" w:rsidRDefault="00720850" w:rsidP="00D911AF">
      <w:pPr>
        <w:rPr>
          <w:lang w:val="fr-FR"/>
        </w:rPr>
      </w:pPr>
    </w:p>
    <w:p w:rsidR="00720850" w:rsidRPr="00D911AF" w:rsidRDefault="00720850" w:rsidP="00D911AF">
      <w:pPr>
        <w:jc w:val="center"/>
        <w:rPr>
          <w:lang w:val="fr-FR"/>
        </w:rPr>
      </w:pPr>
    </w:p>
    <w:p w:rsidR="00720850" w:rsidRPr="00D911AF" w:rsidRDefault="00720850" w:rsidP="00D911AF">
      <w:pPr>
        <w:jc w:val="center"/>
        <w:rPr>
          <w:lang w:val="fr-FR"/>
        </w:rPr>
      </w:pPr>
    </w:p>
    <w:p w:rsidR="00CC5E36" w:rsidRPr="00D911AF" w:rsidRDefault="00CC5E36" w:rsidP="00D911AF">
      <w:pPr>
        <w:jc w:val="center"/>
        <w:rPr>
          <w:lang w:val="fr-FR"/>
        </w:rPr>
      </w:pPr>
    </w:p>
    <w:p w:rsidR="00BE1248" w:rsidRPr="00D911AF" w:rsidRDefault="00BE1248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lastRenderedPageBreak/>
        <w:t>ANNEXE III</w:t>
      </w:r>
    </w:p>
    <w:p w:rsidR="006F41A2" w:rsidRPr="00D911AF" w:rsidRDefault="00FE2379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t>Calcul de l</w:t>
      </w:r>
      <w:r w:rsidR="00D911AF" w:rsidRPr="00D911AF">
        <w:rPr>
          <w:b/>
          <w:lang w:val="fr-FR"/>
        </w:rPr>
        <w:t>’</w:t>
      </w:r>
      <w:r w:rsidRPr="00D911AF">
        <w:rPr>
          <w:b/>
          <w:lang w:val="fr-FR"/>
        </w:rPr>
        <w:t xml:space="preserve">arriéré </w:t>
      </w:r>
      <w:r w:rsidR="00CC5E36" w:rsidRPr="00D911AF">
        <w:rPr>
          <w:b/>
          <w:lang w:val="fr-FR"/>
        </w:rPr>
        <w:t xml:space="preserve">des pensions </w:t>
      </w:r>
      <w:r w:rsidR="00297E2C" w:rsidRPr="00D911AF">
        <w:rPr>
          <w:b/>
          <w:lang w:val="fr-FR"/>
        </w:rPr>
        <w:t xml:space="preserve">(du départ à la retraite des requérants </w:t>
      </w:r>
      <w:r w:rsidR="009A03A4" w:rsidRPr="00D911AF">
        <w:rPr>
          <w:b/>
          <w:lang w:val="fr-FR"/>
        </w:rPr>
        <w:t>jusqu</w:t>
      </w:r>
      <w:r w:rsidR="00D911AF" w:rsidRPr="00D911AF">
        <w:rPr>
          <w:b/>
          <w:lang w:val="fr-FR"/>
        </w:rPr>
        <w:t>’</w:t>
      </w:r>
      <w:r w:rsidR="005A7655" w:rsidRPr="00D911AF">
        <w:rPr>
          <w:b/>
          <w:lang w:val="fr-FR"/>
        </w:rPr>
        <w:t>au 29 août</w:t>
      </w:r>
      <w:r w:rsidR="00BC0180" w:rsidRPr="00D911AF">
        <w:rPr>
          <w:b/>
          <w:lang w:val="fr-FR"/>
        </w:rPr>
        <w:t xml:space="preserve"> </w:t>
      </w:r>
      <w:r w:rsidR="005A7655" w:rsidRPr="00D911AF">
        <w:rPr>
          <w:b/>
          <w:lang w:val="fr-FR"/>
        </w:rPr>
        <w:t>2012,</w:t>
      </w:r>
    </w:p>
    <w:p w:rsidR="00720850" w:rsidRPr="00D911AF" w:rsidRDefault="005A7655" w:rsidP="00D911AF">
      <w:pPr>
        <w:jc w:val="center"/>
        <w:rPr>
          <w:b/>
          <w:lang w:val="fr-FR"/>
        </w:rPr>
      </w:pPr>
      <w:proofErr w:type="gramStart"/>
      <w:r w:rsidRPr="00D911AF">
        <w:rPr>
          <w:b/>
          <w:lang w:val="fr-FR"/>
        </w:rPr>
        <w:t>date</w:t>
      </w:r>
      <w:proofErr w:type="gramEnd"/>
      <w:r w:rsidRPr="00D911AF">
        <w:rPr>
          <w:b/>
          <w:lang w:val="fr-FR"/>
        </w:rPr>
        <w:t xml:space="preserve"> de la communication de la requête</w:t>
      </w:r>
      <w:r w:rsidR="00297E2C" w:rsidRPr="00D911AF">
        <w:rPr>
          <w:b/>
          <w:lang w:val="fr-FR"/>
        </w:rPr>
        <w:t>)</w:t>
      </w:r>
    </w:p>
    <w:p w:rsidR="00737ABB" w:rsidRPr="00D911AF" w:rsidRDefault="00737ABB" w:rsidP="00D911AF">
      <w:pPr>
        <w:jc w:val="center"/>
        <w:rPr>
          <w:b/>
          <w:lang w:val="fr-FR"/>
        </w:rPr>
      </w:pPr>
    </w:p>
    <w:tbl>
      <w:tblPr>
        <w:tblStyle w:val="Grigliatabella"/>
        <w:tblW w:w="11450" w:type="dxa"/>
        <w:jc w:val="center"/>
        <w:tblLook w:val="04A0" w:firstRow="1" w:lastRow="0" w:firstColumn="1" w:lastColumn="0" w:noHBand="0" w:noVBand="1"/>
      </w:tblPr>
      <w:tblGrid>
        <w:gridCol w:w="1565"/>
        <w:gridCol w:w="2004"/>
        <w:gridCol w:w="2977"/>
        <w:gridCol w:w="2126"/>
        <w:gridCol w:w="2778"/>
      </w:tblGrid>
      <w:tr w:rsidR="001F1DFE" w:rsidRPr="00D911AF" w:rsidTr="000A5BA0">
        <w:trPr>
          <w:trHeight w:val="871"/>
          <w:jc w:val="center"/>
        </w:trPr>
        <w:tc>
          <w:tcPr>
            <w:tcW w:w="1565" w:type="dxa"/>
            <w:shd w:val="clear" w:color="auto" w:fill="DFDFDF" w:themeFill="background2" w:themeFillShade="E6"/>
            <w:vAlign w:val="center"/>
          </w:tcPr>
          <w:p w:rsidR="005A7655" w:rsidRPr="00D911AF" w:rsidRDefault="005A7655" w:rsidP="00D911AF">
            <w:pPr>
              <w:jc w:val="center"/>
            </w:pPr>
            <w:proofErr w:type="spellStart"/>
            <w:r w:rsidRPr="00D911AF">
              <w:t>Requête</w:t>
            </w:r>
            <w:proofErr w:type="spellEnd"/>
            <w:r w:rsidRPr="00D911AF">
              <w:t xml:space="preserve"> n</w:t>
            </w:r>
            <w:r w:rsidRPr="00D911AF">
              <w:rPr>
                <w:vertAlign w:val="superscript"/>
              </w:rPr>
              <w:t>o</w:t>
            </w:r>
          </w:p>
        </w:tc>
        <w:tc>
          <w:tcPr>
            <w:tcW w:w="2004" w:type="dxa"/>
            <w:shd w:val="clear" w:color="auto" w:fill="DFDFDF" w:themeFill="background2" w:themeFillShade="E6"/>
            <w:vAlign w:val="center"/>
            <w:hideMark/>
          </w:tcPr>
          <w:p w:rsidR="005A7655" w:rsidRPr="00D911AF" w:rsidRDefault="005A7655" w:rsidP="00D911AF">
            <w:pPr>
              <w:jc w:val="center"/>
            </w:pPr>
            <w:proofErr w:type="spellStart"/>
            <w:r w:rsidRPr="00D911AF">
              <w:t>Requérant</w:t>
            </w:r>
            <w:proofErr w:type="spellEnd"/>
          </w:p>
        </w:tc>
        <w:tc>
          <w:tcPr>
            <w:tcW w:w="2977" w:type="dxa"/>
            <w:shd w:val="clear" w:color="auto" w:fill="DFDFDF" w:themeFill="background2" w:themeFillShade="E6"/>
            <w:vAlign w:val="center"/>
          </w:tcPr>
          <w:p w:rsidR="005A7655" w:rsidRPr="00D911AF" w:rsidRDefault="005A7655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Montant qui aurait dû être globalement perçu par les requérant</w:t>
            </w:r>
            <w:r w:rsidR="006F41A2" w:rsidRPr="00D911AF">
              <w:rPr>
                <w:lang w:val="fr-FR"/>
              </w:rPr>
              <w:t>s</w:t>
            </w:r>
            <w:r w:rsidRPr="00D911AF">
              <w:rPr>
                <w:lang w:val="fr-FR"/>
              </w:rPr>
              <w:t xml:space="preserve"> à titre de pension</w:t>
            </w:r>
          </w:p>
        </w:tc>
        <w:tc>
          <w:tcPr>
            <w:tcW w:w="2126" w:type="dxa"/>
            <w:shd w:val="clear" w:color="auto" w:fill="DFDFDF" w:themeFill="background2" w:themeFillShade="E6"/>
            <w:vAlign w:val="center"/>
          </w:tcPr>
          <w:p w:rsidR="005A7655" w:rsidRPr="00D911AF" w:rsidRDefault="005A7655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Montant effectivement perçu selon les tableaux de l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INPS</w:t>
            </w:r>
            <w:r w:rsidR="000E0AF0" w:rsidRPr="00D911AF">
              <w:rPr>
                <w:lang w:val="fr-FR"/>
              </w:rPr>
              <w:t xml:space="preserve"> </w:t>
            </w:r>
          </w:p>
        </w:tc>
        <w:tc>
          <w:tcPr>
            <w:tcW w:w="2778" w:type="dxa"/>
            <w:shd w:val="clear" w:color="auto" w:fill="DFDFDF" w:themeFill="background2" w:themeFillShade="E6"/>
            <w:vAlign w:val="center"/>
            <w:hideMark/>
          </w:tcPr>
          <w:p w:rsidR="00D911AF" w:rsidRPr="00D911AF" w:rsidRDefault="005A7655" w:rsidP="00D911AF">
            <w:pPr>
              <w:jc w:val="center"/>
              <w:rPr>
                <w:lang w:val="fr-FR"/>
              </w:rPr>
            </w:pPr>
            <w:r w:rsidRPr="00D911AF">
              <w:rPr>
                <w:rFonts w:cstheme="minorHAnsi"/>
                <w:lang w:val="fr-FR"/>
              </w:rPr>
              <w:t>Différence</w:t>
            </w:r>
            <w:r w:rsidRPr="00D911AF">
              <w:rPr>
                <w:lang w:val="fr-FR"/>
              </w:rPr>
              <w:t xml:space="preserve"> entre ce que les requérants auraient obtenu en l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absence de la loi et ce qu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ils ont perçu</w:t>
            </w:r>
          </w:p>
          <w:p w:rsidR="005A7655" w:rsidRPr="00D911AF" w:rsidRDefault="005A7655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 xml:space="preserve">selon le tableau INPS 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21838/10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Stefanetti</w:t>
            </w:r>
            <w:proofErr w:type="spellEnd"/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497 922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138 247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359 675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21849/10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Rodelli</w:t>
            </w:r>
            <w:proofErr w:type="spellEnd"/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372 885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110 961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261 924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21852/10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Negri</w:t>
            </w:r>
            <w:proofErr w:type="spellEnd"/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543 926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152 982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390 944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21855/10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>M. Della Nave</w:t>
            </w:r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636 024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189 368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446 655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21860/10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 xml:space="preserve">M. Del </w:t>
            </w:r>
            <w:proofErr w:type="spellStart"/>
            <w:r w:rsidRPr="00D911AF">
              <w:t>Maffeo</w:t>
            </w:r>
            <w:proofErr w:type="spellEnd"/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561 395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153 981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407 413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21863/10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>M. Cotta</w:t>
            </w:r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302 987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99 244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203 743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21869/10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Curti</w:t>
            </w:r>
            <w:proofErr w:type="spellEnd"/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308 901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128 192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180 709 EUR</w:t>
            </w:r>
          </w:p>
        </w:tc>
      </w:tr>
      <w:tr w:rsidR="001F1DFE" w:rsidRPr="00D911AF" w:rsidTr="000A5BA0">
        <w:trPr>
          <w:trHeight w:val="300"/>
          <w:jc w:val="center"/>
        </w:trPr>
        <w:tc>
          <w:tcPr>
            <w:tcW w:w="1565" w:type="dxa"/>
          </w:tcPr>
          <w:p w:rsidR="005A7655" w:rsidRPr="00D911AF" w:rsidRDefault="005A7655" w:rsidP="00D911AF">
            <w:pPr>
              <w:jc w:val="right"/>
            </w:pPr>
            <w:r w:rsidRPr="00D911AF">
              <w:t>21870/10</w:t>
            </w:r>
          </w:p>
        </w:tc>
        <w:tc>
          <w:tcPr>
            <w:tcW w:w="2004" w:type="dxa"/>
            <w:hideMark/>
          </w:tcPr>
          <w:p w:rsidR="005A7655" w:rsidRPr="00D911AF" w:rsidRDefault="005A7655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Andreola</w:t>
            </w:r>
            <w:proofErr w:type="spellEnd"/>
          </w:p>
        </w:tc>
        <w:tc>
          <w:tcPr>
            <w:tcW w:w="2977" w:type="dxa"/>
            <w:vAlign w:val="bottom"/>
          </w:tcPr>
          <w:p w:rsidR="005A7655" w:rsidRPr="00D911AF" w:rsidRDefault="005A7655" w:rsidP="00D911AF">
            <w:pPr>
              <w:jc w:val="right"/>
            </w:pPr>
            <w:r w:rsidRPr="00D911AF">
              <w:t>294 534 EUR</w:t>
            </w:r>
          </w:p>
        </w:tc>
        <w:tc>
          <w:tcPr>
            <w:tcW w:w="2126" w:type="dxa"/>
          </w:tcPr>
          <w:p w:rsidR="005A7655" w:rsidRPr="00D911AF" w:rsidRDefault="005A7655" w:rsidP="00D911AF">
            <w:pPr>
              <w:jc w:val="right"/>
            </w:pPr>
            <w:r w:rsidRPr="00D911AF">
              <w:t>143 438 EUR</w:t>
            </w:r>
          </w:p>
        </w:tc>
        <w:tc>
          <w:tcPr>
            <w:tcW w:w="2778" w:type="dxa"/>
            <w:noWrap/>
            <w:hideMark/>
          </w:tcPr>
          <w:p w:rsidR="005A7655" w:rsidRPr="00D911AF" w:rsidRDefault="005A7655" w:rsidP="00D911AF">
            <w:pPr>
              <w:jc w:val="right"/>
            </w:pPr>
            <w:r w:rsidRPr="00D911AF">
              <w:t>151 095 EUR</w:t>
            </w:r>
          </w:p>
        </w:tc>
      </w:tr>
    </w:tbl>
    <w:p w:rsidR="005B5072" w:rsidRPr="00D911AF" w:rsidRDefault="005B5072" w:rsidP="00D911AF">
      <w:pPr>
        <w:rPr>
          <w:lang w:val="fr-FR"/>
        </w:rPr>
      </w:pPr>
    </w:p>
    <w:p w:rsidR="008E6BBA" w:rsidRPr="00D911AF" w:rsidRDefault="008E6BBA" w:rsidP="00D911AF">
      <w:pPr>
        <w:jc w:val="center"/>
        <w:rPr>
          <w:b/>
          <w:lang w:val="fr-FR"/>
        </w:rPr>
      </w:pPr>
    </w:p>
    <w:p w:rsidR="008E6BBA" w:rsidRPr="00D911AF" w:rsidRDefault="008E6BBA" w:rsidP="00D911AF">
      <w:pPr>
        <w:jc w:val="center"/>
        <w:rPr>
          <w:b/>
          <w:lang w:val="fr-FR"/>
        </w:rPr>
      </w:pPr>
    </w:p>
    <w:p w:rsidR="008E6BBA" w:rsidRPr="00D911AF" w:rsidRDefault="008E6BBA" w:rsidP="00D911AF">
      <w:pPr>
        <w:jc w:val="center"/>
        <w:rPr>
          <w:b/>
          <w:lang w:val="fr-FR"/>
        </w:rPr>
      </w:pPr>
    </w:p>
    <w:p w:rsidR="00737ABB" w:rsidRPr="00D911AF" w:rsidRDefault="00737ABB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br w:type="page"/>
      </w:r>
    </w:p>
    <w:p w:rsidR="005B5072" w:rsidRPr="00D911AF" w:rsidRDefault="008E6BBA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lastRenderedPageBreak/>
        <w:t>ANNEXE IV</w:t>
      </w:r>
    </w:p>
    <w:p w:rsidR="00D911AF" w:rsidRPr="00D911AF" w:rsidRDefault="008E6BBA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t>Calcul de l</w:t>
      </w:r>
      <w:r w:rsidR="00D911AF" w:rsidRPr="00D911AF">
        <w:rPr>
          <w:b/>
          <w:lang w:val="fr-FR"/>
        </w:rPr>
        <w:t>’</w:t>
      </w:r>
      <w:r w:rsidRPr="00D911AF">
        <w:rPr>
          <w:b/>
          <w:lang w:val="fr-FR"/>
        </w:rPr>
        <w:t xml:space="preserve">arriéré des pensions </w:t>
      </w:r>
      <w:r w:rsidR="009336B1" w:rsidRPr="00D911AF">
        <w:rPr>
          <w:b/>
          <w:lang w:val="fr-FR"/>
        </w:rPr>
        <w:t xml:space="preserve">selon les requérants </w:t>
      </w:r>
      <w:r w:rsidRPr="00D911AF">
        <w:rPr>
          <w:b/>
          <w:lang w:val="fr-FR"/>
        </w:rPr>
        <w:t>(</w:t>
      </w:r>
      <w:r w:rsidR="00A35722" w:rsidRPr="00D911AF">
        <w:rPr>
          <w:b/>
          <w:lang w:val="fr-FR"/>
        </w:rPr>
        <w:t>de septembre 2012 à</w:t>
      </w:r>
      <w:r w:rsidR="009336B1" w:rsidRPr="00D911AF">
        <w:rPr>
          <w:b/>
          <w:lang w:val="fr-FR"/>
        </w:rPr>
        <w:t xml:space="preserve"> </w:t>
      </w:r>
      <w:r w:rsidR="00A35722" w:rsidRPr="00D911AF">
        <w:rPr>
          <w:b/>
          <w:lang w:val="fr-FR"/>
        </w:rPr>
        <w:t>mai</w:t>
      </w:r>
      <w:r w:rsidR="009336B1" w:rsidRPr="00D911AF">
        <w:rPr>
          <w:b/>
          <w:lang w:val="fr-FR"/>
        </w:rPr>
        <w:t xml:space="preserve"> </w:t>
      </w:r>
      <w:r w:rsidRPr="00D911AF">
        <w:rPr>
          <w:b/>
          <w:lang w:val="fr-FR"/>
        </w:rPr>
        <w:t>2014</w:t>
      </w:r>
      <w:r w:rsidR="009336B1" w:rsidRPr="00D911AF">
        <w:rPr>
          <w:b/>
          <w:lang w:val="fr-FR"/>
        </w:rPr>
        <w:t>)</w:t>
      </w:r>
    </w:p>
    <w:p w:rsidR="008E6BBA" w:rsidRPr="00D911AF" w:rsidRDefault="008E6BBA" w:rsidP="00D911AF">
      <w:pPr>
        <w:rPr>
          <w:lang w:val="fr-FR"/>
        </w:rPr>
      </w:pPr>
    </w:p>
    <w:tbl>
      <w:tblPr>
        <w:tblStyle w:val="Grigliatabella"/>
        <w:tblW w:w="11144" w:type="dxa"/>
        <w:jc w:val="center"/>
        <w:tblLook w:val="04A0" w:firstRow="1" w:lastRow="0" w:firstColumn="1" w:lastColumn="0" w:noHBand="0" w:noVBand="1"/>
      </w:tblPr>
      <w:tblGrid>
        <w:gridCol w:w="1383"/>
        <w:gridCol w:w="1842"/>
        <w:gridCol w:w="3099"/>
        <w:gridCol w:w="1985"/>
        <w:gridCol w:w="2835"/>
      </w:tblGrid>
      <w:tr w:rsidR="008E6BBA" w:rsidRPr="00D911AF" w:rsidTr="000A5BA0">
        <w:trPr>
          <w:trHeight w:val="871"/>
          <w:jc w:val="center"/>
        </w:trPr>
        <w:tc>
          <w:tcPr>
            <w:tcW w:w="1383" w:type="dxa"/>
            <w:shd w:val="clear" w:color="auto" w:fill="DFDFDF" w:themeFill="background2" w:themeFillShade="E6"/>
            <w:vAlign w:val="center"/>
          </w:tcPr>
          <w:p w:rsidR="008E6BBA" w:rsidRPr="00D911AF" w:rsidRDefault="008E6BBA" w:rsidP="00D911AF">
            <w:pPr>
              <w:jc w:val="center"/>
            </w:pPr>
            <w:proofErr w:type="spellStart"/>
            <w:r w:rsidRPr="00D911AF">
              <w:t>Requête</w:t>
            </w:r>
            <w:proofErr w:type="spellEnd"/>
            <w:r w:rsidRPr="00D911AF">
              <w:t xml:space="preserve"> n</w:t>
            </w:r>
            <w:r w:rsidRPr="00D911AF">
              <w:rPr>
                <w:vertAlign w:val="superscript"/>
              </w:rPr>
              <w:t>o</w:t>
            </w:r>
          </w:p>
        </w:tc>
        <w:tc>
          <w:tcPr>
            <w:tcW w:w="1842" w:type="dxa"/>
            <w:shd w:val="clear" w:color="auto" w:fill="DFDFDF" w:themeFill="background2" w:themeFillShade="E6"/>
            <w:vAlign w:val="center"/>
            <w:hideMark/>
          </w:tcPr>
          <w:p w:rsidR="008E6BBA" w:rsidRPr="00D911AF" w:rsidRDefault="008E6BBA" w:rsidP="00D911AF">
            <w:pPr>
              <w:jc w:val="center"/>
            </w:pPr>
            <w:proofErr w:type="spellStart"/>
            <w:r w:rsidRPr="00D911AF">
              <w:t>Requérant</w:t>
            </w:r>
            <w:proofErr w:type="spellEnd"/>
          </w:p>
        </w:tc>
        <w:tc>
          <w:tcPr>
            <w:tcW w:w="3099" w:type="dxa"/>
            <w:shd w:val="clear" w:color="auto" w:fill="DFDFDF" w:themeFill="background2" w:themeFillShade="E6"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>Montant qui aurait dû être globalement perçu par les requérant</w:t>
            </w:r>
            <w:r w:rsidR="006F41A2" w:rsidRPr="00D911AF">
              <w:rPr>
                <w:lang w:val="fr-FR"/>
              </w:rPr>
              <w:t>s</w:t>
            </w:r>
            <w:r w:rsidRPr="00D911AF">
              <w:rPr>
                <w:lang w:val="fr-FR"/>
              </w:rPr>
              <w:t xml:space="preserve"> à titre de pension</w:t>
            </w:r>
          </w:p>
        </w:tc>
        <w:tc>
          <w:tcPr>
            <w:tcW w:w="1985" w:type="dxa"/>
            <w:shd w:val="clear" w:color="auto" w:fill="DFDFDF" w:themeFill="background2" w:themeFillShade="E6"/>
            <w:vAlign w:val="center"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r w:rsidRPr="00D911AF">
              <w:rPr>
                <w:lang w:val="fr-FR"/>
              </w:rPr>
              <w:t xml:space="preserve">Montant effectivement perçu </w:t>
            </w:r>
          </w:p>
        </w:tc>
        <w:tc>
          <w:tcPr>
            <w:tcW w:w="2835" w:type="dxa"/>
            <w:shd w:val="clear" w:color="auto" w:fill="DFDFDF" w:themeFill="background2" w:themeFillShade="E6"/>
          </w:tcPr>
          <w:p w:rsidR="008E6BBA" w:rsidRPr="00D911AF" w:rsidRDefault="008E6BBA" w:rsidP="00D911AF">
            <w:pPr>
              <w:jc w:val="center"/>
              <w:rPr>
                <w:lang w:val="fr-FR"/>
              </w:rPr>
            </w:pPr>
            <w:r w:rsidRPr="00D911AF">
              <w:rPr>
                <w:rFonts w:cstheme="minorHAnsi"/>
                <w:lang w:val="fr-FR"/>
              </w:rPr>
              <w:t>Différence</w:t>
            </w:r>
            <w:r w:rsidRPr="00D911AF">
              <w:rPr>
                <w:lang w:val="fr-FR"/>
              </w:rPr>
              <w:t xml:space="preserve"> entre ce que les requérants auraient obtenu en l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>absence de la loi et ce qu</w:t>
            </w:r>
            <w:r w:rsidR="00D911AF" w:rsidRPr="00D911AF">
              <w:rPr>
                <w:lang w:val="fr-FR"/>
              </w:rPr>
              <w:t>’</w:t>
            </w:r>
            <w:r w:rsidRPr="00D911AF">
              <w:rPr>
                <w:lang w:val="fr-FR"/>
              </w:rPr>
              <w:t xml:space="preserve">ils ont perçu 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21838/10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Stefanetti</w:t>
            </w:r>
            <w:proofErr w:type="spellEnd"/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50 960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17 130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33 830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21849/10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Rodelli</w:t>
            </w:r>
            <w:proofErr w:type="spellEnd"/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38 590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14 833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23 757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21852/10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Negri</w:t>
            </w:r>
            <w:proofErr w:type="spellEnd"/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61 215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19 923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41 292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21855/10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>M. Della Nave</w:t>
            </w:r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48 633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19 592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29 041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21860/10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 xml:space="preserve">M. Del </w:t>
            </w:r>
            <w:proofErr w:type="spellStart"/>
            <w:r w:rsidRPr="00D911AF">
              <w:t>Maffeo</w:t>
            </w:r>
            <w:proofErr w:type="spellEnd"/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53 976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18 314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35 661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21863/10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>M. Cotta</w:t>
            </w:r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52 988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24 455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28 533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21869/10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Curti</w:t>
            </w:r>
            <w:proofErr w:type="spellEnd"/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43 276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18 123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25 153 EUR</w:t>
            </w:r>
          </w:p>
        </w:tc>
      </w:tr>
      <w:tr w:rsidR="00DC2CA7" w:rsidRPr="00D911AF" w:rsidTr="000A5BA0">
        <w:trPr>
          <w:trHeight w:val="300"/>
          <w:jc w:val="center"/>
        </w:trPr>
        <w:tc>
          <w:tcPr>
            <w:tcW w:w="1383" w:type="dxa"/>
          </w:tcPr>
          <w:p w:rsidR="00DC2CA7" w:rsidRPr="00D911AF" w:rsidRDefault="00DC2CA7" w:rsidP="00D911AF">
            <w:pPr>
              <w:jc w:val="right"/>
            </w:pPr>
            <w:r w:rsidRPr="00D911AF">
              <w:t>21870/10</w:t>
            </w:r>
          </w:p>
        </w:tc>
        <w:tc>
          <w:tcPr>
            <w:tcW w:w="1842" w:type="dxa"/>
            <w:hideMark/>
          </w:tcPr>
          <w:p w:rsidR="00DC2CA7" w:rsidRPr="00D911AF" w:rsidRDefault="00DC2CA7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Andreola</w:t>
            </w:r>
            <w:proofErr w:type="spellEnd"/>
          </w:p>
        </w:tc>
        <w:tc>
          <w:tcPr>
            <w:tcW w:w="3099" w:type="dxa"/>
          </w:tcPr>
          <w:p w:rsidR="00DC2CA7" w:rsidRPr="00D911AF" w:rsidRDefault="00DC2CA7" w:rsidP="00D911AF">
            <w:pPr>
              <w:jc w:val="right"/>
            </w:pPr>
            <w:r w:rsidRPr="00D911AF">
              <w:t>58 411 EUR</w:t>
            </w:r>
          </w:p>
        </w:tc>
        <w:tc>
          <w:tcPr>
            <w:tcW w:w="1985" w:type="dxa"/>
          </w:tcPr>
          <w:p w:rsidR="00DC2CA7" w:rsidRPr="00D911AF" w:rsidRDefault="00DC2CA7" w:rsidP="00D911AF">
            <w:pPr>
              <w:jc w:val="right"/>
            </w:pPr>
            <w:r w:rsidRPr="00D911AF">
              <w:t>35 895 EUR</w:t>
            </w:r>
          </w:p>
        </w:tc>
        <w:tc>
          <w:tcPr>
            <w:tcW w:w="2835" w:type="dxa"/>
          </w:tcPr>
          <w:p w:rsidR="00DC2CA7" w:rsidRPr="00D911AF" w:rsidRDefault="00DC2CA7" w:rsidP="00D911AF">
            <w:pPr>
              <w:jc w:val="right"/>
            </w:pPr>
            <w:r w:rsidRPr="00D911AF">
              <w:t>22 516 EUR</w:t>
            </w:r>
          </w:p>
        </w:tc>
      </w:tr>
    </w:tbl>
    <w:p w:rsidR="008E6BBA" w:rsidRPr="00D911AF" w:rsidRDefault="008E6BBA" w:rsidP="00D911AF">
      <w:pPr>
        <w:rPr>
          <w:lang w:val="fr-FR"/>
        </w:rPr>
      </w:pPr>
    </w:p>
    <w:p w:rsidR="00C3649A" w:rsidRPr="00D911AF" w:rsidRDefault="00C3649A" w:rsidP="00D911AF">
      <w:pPr>
        <w:rPr>
          <w:lang w:val="fr-FR"/>
        </w:rPr>
      </w:pPr>
    </w:p>
    <w:p w:rsidR="00C3649A" w:rsidRPr="00D911AF" w:rsidRDefault="00C3649A" w:rsidP="00D911AF">
      <w:pPr>
        <w:rPr>
          <w:lang w:val="fr-FR"/>
        </w:rPr>
      </w:pPr>
    </w:p>
    <w:p w:rsidR="00506CE5" w:rsidRPr="00D911AF" w:rsidRDefault="00506CE5" w:rsidP="00D911AF">
      <w:pPr>
        <w:rPr>
          <w:lang w:val="fr-FR"/>
        </w:rPr>
      </w:pPr>
    </w:p>
    <w:p w:rsidR="00506CE5" w:rsidRPr="00D911AF" w:rsidRDefault="00506CE5" w:rsidP="00D911AF">
      <w:pPr>
        <w:rPr>
          <w:lang w:val="fr-FR"/>
        </w:rPr>
      </w:pPr>
    </w:p>
    <w:p w:rsidR="00506CE5" w:rsidRPr="00D911AF" w:rsidRDefault="00506CE5" w:rsidP="00D911AF">
      <w:pPr>
        <w:rPr>
          <w:lang w:val="fr-FR"/>
        </w:rPr>
      </w:pPr>
    </w:p>
    <w:p w:rsidR="00737ABB" w:rsidRPr="00D911AF" w:rsidRDefault="00737ABB" w:rsidP="00D911AF">
      <w:pPr>
        <w:rPr>
          <w:lang w:val="fr-FR"/>
        </w:rPr>
      </w:pPr>
      <w:r w:rsidRPr="00D911AF">
        <w:rPr>
          <w:lang w:val="fr-FR"/>
        </w:rPr>
        <w:br w:type="page"/>
      </w:r>
    </w:p>
    <w:p w:rsidR="00C3649A" w:rsidRPr="00D911AF" w:rsidRDefault="00C3649A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lastRenderedPageBreak/>
        <w:t>ANNEXE V</w:t>
      </w:r>
    </w:p>
    <w:p w:rsidR="00C3649A" w:rsidRPr="00D911AF" w:rsidRDefault="00C3649A" w:rsidP="00D911AF">
      <w:pPr>
        <w:jc w:val="center"/>
        <w:rPr>
          <w:b/>
          <w:lang w:val="fr-FR"/>
        </w:rPr>
      </w:pPr>
      <w:r w:rsidRPr="00D911AF">
        <w:rPr>
          <w:b/>
          <w:lang w:val="fr-FR"/>
        </w:rPr>
        <w:t>Calcul de l</w:t>
      </w:r>
      <w:r w:rsidR="00D911AF" w:rsidRPr="00D911AF">
        <w:rPr>
          <w:b/>
          <w:lang w:val="fr-FR"/>
        </w:rPr>
        <w:t>’</w:t>
      </w:r>
      <w:r w:rsidRPr="00D911AF">
        <w:rPr>
          <w:b/>
          <w:lang w:val="fr-FR"/>
        </w:rPr>
        <w:t>arriéré des pensions (du départ à la retraite des requérants jusqu</w:t>
      </w:r>
      <w:r w:rsidR="00D911AF" w:rsidRPr="00D911AF">
        <w:rPr>
          <w:b/>
          <w:lang w:val="fr-FR"/>
        </w:rPr>
        <w:t>’</w:t>
      </w:r>
      <w:r w:rsidR="0065102F" w:rsidRPr="00D911AF">
        <w:rPr>
          <w:b/>
          <w:lang w:val="fr-FR"/>
        </w:rPr>
        <w:t>en</w:t>
      </w:r>
      <w:r w:rsidRPr="00D911AF">
        <w:rPr>
          <w:b/>
          <w:lang w:val="fr-FR"/>
        </w:rPr>
        <w:t xml:space="preserve"> mai 2014)</w:t>
      </w:r>
    </w:p>
    <w:p w:rsidR="00506CE5" w:rsidRPr="00D911AF" w:rsidRDefault="00506CE5" w:rsidP="00D911AF">
      <w:pPr>
        <w:jc w:val="center"/>
        <w:rPr>
          <w:b/>
          <w:lang w:val="fr-FR"/>
        </w:rPr>
      </w:pPr>
    </w:p>
    <w:tbl>
      <w:tblPr>
        <w:tblStyle w:val="Grigliatabella"/>
        <w:tblW w:w="11151" w:type="dxa"/>
        <w:jc w:val="center"/>
        <w:tblLook w:val="04A0" w:firstRow="1" w:lastRow="0" w:firstColumn="1" w:lastColumn="0" w:noHBand="0" w:noVBand="1"/>
      </w:tblPr>
      <w:tblGrid>
        <w:gridCol w:w="1522"/>
        <w:gridCol w:w="1783"/>
        <w:gridCol w:w="3027"/>
        <w:gridCol w:w="2268"/>
        <w:gridCol w:w="2551"/>
      </w:tblGrid>
      <w:tr w:rsidR="00506CE5" w:rsidRPr="00D911AF" w:rsidTr="000A5BA0">
        <w:trPr>
          <w:trHeight w:val="871"/>
          <w:jc w:val="center"/>
        </w:trPr>
        <w:tc>
          <w:tcPr>
            <w:tcW w:w="1522" w:type="dxa"/>
            <w:shd w:val="clear" w:color="auto" w:fill="DFDFDF" w:themeFill="background2" w:themeFillShade="E6"/>
            <w:vAlign w:val="center"/>
          </w:tcPr>
          <w:p w:rsidR="00506CE5" w:rsidRPr="00D911AF" w:rsidRDefault="00506CE5" w:rsidP="00D911AF">
            <w:pPr>
              <w:jc w:val="center"/>
              <w:rPr>
                <w:b/>
              </w:rPr>
            </w:pPr>
            <w:proofErr w:type="spellStart"/>
            <w:r w:rsidRPr="00D911AF">
              <w:rPr>
                <w:b/>
              </w:rPr>
              <w:t>Requête</w:t>
            </w:r>
            <w:proofErr w:type="spellEnd"/>
            <w:r w:rsidRPr="00D911AF">
              <w:rPr>
                <w:b/>
              </w:rPr>
              <w:t xml:space="preserve"> n</w:t>
            </w:r>
            <w:r w:rsidRPr="00D911AF">
              <w:rPr>
                <w:b/>
                <w:vertAlign w:val="superscript"/>
              </w:rPr>
              <w:t>o</w:t>
            </w:r>
          </w:p>
        </w:tc>
        <w:tc>
          <w:tcPr>
            <w:tcW w:w="1783" w:type="dxa"/>
            <w:shd w:val="clear" w:color="auto" w:fill="DFDFDF" w:themeFill="background2" w:themeFillShade="E6"/>
            <w:vAlign w:val="center"/>
            <w:hideMark/>
          </w:tcPr>
          <w:p w:rsidR="00506CE5" w:rsidRPr="00D911AF" w:rsidRDefault="00506CE5" w:rsidP="00D911AF">
            <w:pPr>
              <w:jc w:val="center"/>
              <w:rPr>
                <w:b/>
              </w:rPr>
            </w:pPr>
            <w:proofErr w:type="spellStart"/>
            <w:r w:rsidRPr="00D911AF">
              <w:rPr>
                <w:b/>
              </w:rPr>
              <w:t>Requérant</w:t>
            </w:r>
            <w:proofErr w:type="spellEnd"/>
          </w:p>
        </w:tc>
        <w:tc>
          <w:tcPr>
            <w:tcW w:w="3027" w:type="dxa"/>
            <w:shd w:val="clear" w:color="auto" w:fill="DFDFDF" w:themeFill="background2" w:themeFillShade="E6"/>
          </w:tcPr>
          <w:p w:rsidR="00506CE5" w:rsidRPr="00D911AF" w:rsidRDefault="00506CE5" w:rsidP="00D911AF">
            <w:pPr>
              <w:jc w:val="center"/>
              <w:rPr>
                <w:b/>
                <w:lang w:val="fr-FR"/>
              </w:rPr>
            </w:pPr>
            <w:r w:rsidRPr="00D911AF">
              <w:rPr>
                <w:b/>
                <w:lang w:val="fr-FR"/>
              </w:rPr>
              <w:t>Montant qui aurait dû être globalement perçu par les requérant</w:t>
            </w:r>
            <w:r w:rsidR="006F41A2" w:rsidRPr="00D911AF">
              <w:rPr>
                <w:b/>
                <w:lang w:val="fr-FR"/>
              </w:rPr>
              <w:t>s</w:t>
            </w:r>
            <w:r w:rsidRPr="00D911AF">
              <w:rPr>
                <w:b/>
                <w:lang w:val="fr-FR"/>
              </w:rPr>
              <w:t xml:space="preserve"> à titre de pension</w:t>
            </w:r>
          </w:p>
        </w:tc>
        <w:tc>
          <w:tcPr>
            <w:tcW w:w="2268" w:type="dxa"/>
            <w:shd w:val="clear" w:color="auto" w:fill="DFDFDF" w:themeFill="background2" w:themeFillShade="E6"/>
          </w:tcPr>
          <w:p w:rsidR="00506CE5" w:rsidRPr="00D911AF" w:rsidRDefault="00506CE5" w:rsidP="00D911AF">
            <w:pPr>
              <w:jc w:val="center"/>
              <w:rPr>
                <w:b/>
                <w:lang w:val="fr-FR"/>
              </w:rPr>
            </w:pPr>
            <w:r w:rsidRPr="00D911AF">
              <w:rPr>
                <w:b/>
                <w:lang w:val="fr-FR"/>
              </w:rPr>
              <w:t>Montant effectivement perçu</w:t>
            </w:r>
          </w:p>
        </w:tc>
        <w:tc>
          <w:tcPr>
            <w:tcW w:w="2551" w:type="dxa"/>
            <w:shd w:val="clear" w:color="auto" w:fill="DFDFDF" w:themeFill="background2" w:themeFillShade="E6"/>
          </w:tcPr>
          <w:p w:rsidR="00506CE5" w:rsidRPr="00D911AF" w:rsidRDefault="00506CE5" w:rsidP="00D911AF">
            <w:pPr>
              <w:jc w:val="center"/>
              <w:rPr>
                <w:b/>
                <w:lang w:val="fr-FR"/>
              </w:rPr>
            </w:pPr>
            <w:r w:rsidRPr="00D911AF">
              <w:rPr>
                <w:rFonts w:cstheme="minorHAnsi"/>
                <w:b/>
                <w:lang w:val="fr-FR"/>
              </w:rPr>
              <w:t>Différence</w:t>
            </w:r>
            <w:r w:rsidRPr="00D911AF">
              <w:rPr>
                <w:b/>
                <w:lang w:val="fr-FR"/>
              </w:rPr>
              <w:t xml:space="preserve"> entre ce que les requérants auraient obtenu en l</w:t>
            </w:r>
            <w:r w:rsidR="00D911AF" w:rsidRPr="00D911AF">
              <w:rPr>
                <w:b/>
                <w:lang w:val="fr-FR"/>
              </w:rPr>
              <w:t>’</w:t>
            </w:r>
            <w:r w:rsidRPr="00D911AF">
              <w:rPr>
                <w:b/>
                <w:lang w:val="fr-FR"/>
              </w:rPr>
              <w:t>absence de la loi et ce qu</w:t>
            </w:r>
            <w:r w:rsidR="00D911AF" w:rsidRPr="00D911AF">
              <w:rPr>
                <w:b/>
                <w:lang w:val="fr-FR"/>
              </w:rPr>
              <w:t>’</w:t>
            </w:r>
            <w:r w:rsidRPr="00D911AF">
              <w:rPr>
                <w:b/>
                <w:lang w:val="fr-FR"/>
              </w:rPr>
              <w:t>ils ont perçu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21838/10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Stefanetti</w:t>
            </w:r>
            <w:proofErr w:type="spellEnd"/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548 882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155 377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393 505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21849/10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Rodelli</w:t>
            </w:r>
            <w:proofErr w:type="spellEnd"/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411 475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125 795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285 681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21852/10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Negri</w:t>
            </w:r>
            <w:proofErr w:type="spellEnd"/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605 141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172 906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432 236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21855/10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>M. Della Nave</w:t>
            </w:r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684 657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208 961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475 696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21860/10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 xml:space="preserve">M. Del </w:t>
            </w:r>
            <w:proofErr w:type="spellStart"/>
            <w:r w:rsidRPr="00D911AF">
              <w:t>Maffeo</w:t>
            </w:r>
            <w:proofErr w:type="spellEnd"/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615 370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172 296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443 074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21863/10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>M. Cotta</w:t>
            </w:r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355 975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123 699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232 276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21869/10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Curti</w:t>
            </w:r>
            <w:proofErr w:type="spellEnd"/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352 178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146 316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205 862 EUR</w:t>
            </w:r>
          </w:p>
        </w:tc>
      </w:tr>
      <w:tr w:rsidR="00E11B0E" w:rsidRPr="00D911AF" w:rsidTr="000A5BA0">
        <w:trPr>
          <w:trHeight w:val="300"/>
          <w:jc w:val="center"/>
        </w:trPr>
        <w:tc>
          <w:tcPr>
            <w:tcW w:w="1522" w:type="dxa"/>
          </w:tcPr>
          <w:p w:rsidR="00E11B0E" w:rsidRPr="00D911AF" w:rsidRDefault="00E11B0E" w:rsidP="00D911AF">
            <w:pPr>
              <w:jc w:val="right"/>
            </w:pPr>
            <w:r w:rsidRPr="00D911AF">
              <w:t>21870/10</w:t>
            </w:r>
          </w:p>
        </w:tc>
        <w:tc>
          <w:tcPr>
            <w:tcW w:w="1783" w:type="dxa"/>
            <w:hideMark/>
          </w:tcPr>
          <w:p w:rsidR="00E11B0E" w:rsidRPr="00D911AF" w:rsidRDefault="00E11B0E" w:rsidP="00D911AF">
            <w:pPr>
              <w:jc w:val="left"/>
            </w:pPr>
            <w:r w:rsidRPr="00D911AF">
              <w:t xml:space="preserve">M. </w:t>
            </w:r>
            <w:proofErr w:type="spellStart"/>
            <w:r w:rsidRPr="00D911AF">
              <w:t>Andreola</w:t>
            </w:r>
            <w:proofErr w:type="spellEnd"/>
          </w:p>
        </w:tc>
        <w:tc>
          <w:tcPr>
            <w:tcW w:w="3027" w:type="dxa"/>
          </w:tcPr>
          <w:p w:rsidR="00E11B0E" w:rsidRPr="00D911AF" w:rsidRDefault="00E11B0E" w:rsidP="00D911AF">
            <w:pPr>
              <w:jc w:val="right"/>
            </w:pPr>
            <w:r w:rsidRPr="00D911AF">
              <w:t>352 945 EUR</w:t>
            </w:r>
          </w:p>
        </w:tc>
        <w:tc>
          <w:tcPr>
            <w:tcW w:w="2268" w:type="dxa"/>
          </w:tcPr>
          <w:p w:rsidR="00E11B0E" w:rsidRPr="00D911AF" w:rsidRDefault="00E11B0E" w:rsidP="00D911AF">
            <w:pPr>
              <w:jc w:val="right"/>
            </w:pPr>
            <w:r w:rsidRPr="00D911AF">
              <w:t>179 333 EUR</w:t>
            </w:r>
          </w:p>
        </w:tc>
        <w:tc>
          <w:tcPr>
            <w:tcW w:w="2551" w:type="dxa"/>
          </w:tcPr>
          <w:p w:rsidR="00E11B0E" w:rsidRPr="00D911AF" w:rsidRDefault="00E11B0E" w:rsidP="00D911AF">
            <w:pPr>
              <w:jc w:val="right"/>
            </w:pPr>
            <w:r w:rsidRPr="00D911AF">
              <w:t>173 611 EUR</w:t>
            </w:r>
          </w:p>
        </w:tc>
      </w:tr>
    </w:tbl>
    <w:p w:rsidR="00C3649A" w:rsidRPr="00D911AF" w:rsidRDefault="00C3649A" w:rsidP="00D911AF">
      <w:pPr>
        <w:rPr>
          <w:lang w:val="fr-FR"/>
        </w:rPr>
      </w:pPr>
    </w:p>
    <w:sectPr w:rsidR="00C3649A" w:rsidRPr="00D911AF" w:rsidSect="00737ABB">
      <w:headerReference w:type="default" r:id="rId16"/>
      <w:footnotePr>
        <w:numRestart w:val="eachSect"/>
      </w:foot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C8" w:rsidRPr="00820CAF" w:rsidRDefault="00FC5FC8" w:rsidP="00052902">
      <w:pPr>
        <w:rPr>
          <w:lang w:val="fr-FR"/>
        </w:rPr>
      </w:pPr>
      <w:r w:rsidRPr="00820CAF">
        <w:rPr>
          <w:lang w:val="fr-FR"/>
        </w:rPr>
        <w:separator/>
      </w:r>
    </w:p>
  </w:endnote>
  <w:endnote w:type="continuationSeparator" w:id="0">
    <w:p w:rsidR="00FC5FC8" w:rsidRPr="00820CAF" w:rsidRDefault="00FC5FC8" w:rsidP="00052902">
      <w:pPr>
        <w:rPr>
          <w:lang w:val="fr-FR"/>
        </w:rPr>
      </w:pPr>
      <w:r w:rsidRPr="00820CAF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67" w:rsidRPr="00150BFA" w:rsidRDefault="00AF5467" w:rsidP="00B91A37">
    <w:pPr>
      <w:jc w:val="center"/>
    </w:pPr>
    <w:r>
      <w:rPr>
        <w:noProof/>
        <w:lang w:val="it-IT" w:eastAsia="it-IT"/>
      </w:rPr>
      <w:drawing>
        <wp:inline distT="0" distB="0" distL="0" distR="0" wp14:anchorId="031F6F7B" wp14:editId="680471B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467" w:rsidRDefault="00AF54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C8" w:rsidRPr="00820CAF" w:rsidRDefault="00FC5FC8" w:rsidP="00052902">
      <w:pPr>
        <w:rPr>
          <w:lang w:val="fr-FR"/>
        </w:rPr>
      </w:pPr>
      <w:r w:rsidRPr="00820CAF">
        <w:rPr>
          <w:lang w:val="fr-FR"/>
        </w:rPr>
        <w:separator/>
      </w:r>
    </w:p>
  </w:footnote>
  <w:footnote w:type="continuationSeparator" w:id="0">
    <w:p w:rsidR="00FC5FC8" w:rsidRPr="00820CAF" w:rsidRDefault="00FC5FC8" w:rsidP="00052902">
      <w:pPr>
        <w:rPr>
          <w:lang w:val="fr-FR"/>
        </w:rPr>
      </w:pPr>
      <w:r w:rsidRPr="00820CAF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67" w:rsidRPr="00B91A37" w:rsidRDefault="00AF5467" w:rsidP="00B91A3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67" w:rsidRPr="00A45145" w:rsidRDefault="00AF5467" w:rsidP="00B91A37">
    <w:pPr>
      <w:jc w:val="center"/>
    </w:pPr>
    <w:r>
      <w:rPr>
        <w:noProof/>
        <w:lang w:val="it-IT" w:eastAsia="it-IT"/>
      </w:rPr>
      <w:drawing>
        <wp:inline distT="0" distB="0" distL="0" distR="0" wp14:anchorId="0D524E22" wp14:editId="298C36C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467" w:rsidRPr="00E027AF" w:rsidRDefault="00AF5467" w:rsidP="00E027AF">
    <w:pPr>
      <w:pStyle w:val="Intestazion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67" w:rsidRPr="00F5432B" w:rsidRDefault="00AF5467" w:rsidP="00BE034C">
    <w:pPr>
      <w:pStyle w:val="ECHRHeader"/>
      <w:tabs>
        <w:tab w:val="clear" w:pos="3686"/>
        <w:tab w:val="left" w:pos="0"/>
        <w:tab w:val="center" w:pos="6096"/>
      </w:tabs>
      <w:ind w:left="-284"/>
      <w:rPr>
        <w:lang w:val="fr-FR"/>
      </w:rPr>
    </w:pPr>
    <w:r>
      <w:rPr>
        <w:rStyle w:val="Numeropagina"/>
      </w:rPr>
      <w:fldChar w:fldCharType="begin"/>
    </w:r>
    <w:r w:rsidRPr="00F546F5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EC3C6C">
      <w:rPr>
        <w:rStyle w:val="Numeropagina"/>
        <w:noProof/>
        <w:lang w:val="fr-FR"/>
      </w:rPr>
      <w:t>14</w:t>
    </w:r>
    <w:r>
      <w:rPr>
        <w:rStyle w:val="Numeropagina"/>
      </w:rPr>
      <w:fldChar w:fldCharType="end"/>
    </w:r>
    <w:r w:rsidRPr="00F546F5">
      <w:rPr>
        <w:lang w:val="fr-FR"/>
      </w:rPr>
      <w:tab/>
    </w:r>
    <w:r w:rsidR="00BE034C">
      <w:rPr>
        <w:lang w:val="fr-FR"/>
      </w:rPr>
      <w:tab/>
    </w:r>
    <w:r w:rsidRPr="00F546F5">
      <w:rPr>
        <w:lang w:val="fr-FR"/>
      </w:rPr>
      <w:t xml:space="preserve">ARRÊT STEFANETTI </w:t>
    </w:r>
    <w:r>
      <w:rPr>
        <w:lang w:val="fr-FR"/>
      </w:rPr>
      <w:t xml:space="preserve">ET AUTRES </w:t>
    </w:r>
    <w:r w:rsidRPr="00F546F5">
      <w:rPr>
        <w:lang w:val="fr-FR"/>
      </w:rPr>
      <w:t>c. ITALIE (SATISFACTION ÉQUITABLE)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467" w:rsidRPr="00F546F5" w:rsidRDefault="00AF5467" w:rsidP="00737ABB">
    <w:pPr>
      <w:pStyle w:val="ECHRHeader"/>
      <w:jc w:val="center"/>
      <w:rPr>
        <w:lang w:val="fr-FR"/>
      </w:rPr>
    </w:pPr>
    <w:r>
      <w:rPr>
        <w:lang w:val="fr-FR"/>
      </w:rPr>
      <w:tab/>
    </w:r>
    <w:r w:rsidRPr="00F546F5">
      <w:rPr>
        <w:lang w:val="fr-FR"/>
      </w:rPr>
      <w:t xml:space="preserve">ARRÊT STEFANETTI </w:t>
    </w:r>
    <w:r>
      <w:rPr>
        <w:lang w:val="fr-FR"/>
      </w:rPr>
      <w:t xml:space="preserve">ET AUTRES </w:t>
    </w:r>
    <w:r w:rsidRPr="00F546F5">
      <w:rPr>
        <w:lang w:val="fr-FR"/>
      </w:rPr>
      <w:t>c. ITALIE (SATISFACTION ÉQUITABLE)</w:t>
    </w:r>
    <w:r w:rsidRPr="00F546F5">
      <w:rPr>
        <w:lang w:val="fr-FR"/>
      </w:rPr>
      <w:tab/>
    </w:r>
    <w:r>
      <w:rPr>
        <w:rStyle w:val="Numeropagina"/>
        <w:lang w:val="en-GB"/>
      </w:rPr>
      <w:fldChar w:fldCharType="begin"/>
    </w:r>
    <w:r w:rsidRPr="00F546F5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C3C6C">
      <w:rPr>
        <w:rStyle w:val="Numeropagina"/>
        <w:noProof/>
        <w:lang w:val="fr-FR"/>
      </w:rPr>
      <w:t>9</w:t>
    </w:r>
    <w:r>
      <w:rPr>
        <w:rStyle w:val="Numeropagina"/>
        <w:lang w:val="en-GB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21D" w:rsidRPr="00F546F5" w:rsidRDefault="00BE034C" w:rsidP="00BE034C">
    <w:pPr>
      <w:pStyle w:val="ECHRHeader"/>
      <w:tabs>
        <w:tab w:val="clear" w:pos="3686"/>
        <w:tab w:val="clear" w:pos="7371"/>
        <w:tab w:val="center" w:pos="6096"/>
        <w:tab w:val="right" w:pos="12290"/>
      </w:tabs>
      <w:jc w:val="center"/>
      <w:rPr>
        <w:lang w:val="fr-FR"/>
      </w:rPr>
    </w:pPr>
    <w:r>
      <w:rPr>
        <w:lang w:val="fr-FR"/>
      </w:rPr>
      <w:tab/>
    </w:r>
    <w:r w:rsidR="00BD421D" w:rsidRPr="00F546F5">
      <w:rPr>
        <w:lang w:val="fr-FR"/>
      </w:rPr>
      <w:t xml:space="preserve">ARRÊT STEFANETTI </w:t>
    </w:r>
    <w:r w:rsidR="00BD421D">
      <w:rPr>
        <w:lang w:val="fr-FR"/>
      </w:rPr>
      <w:t xml:space="preserve">ET AUTRES </w:t>
    </w:r>
    <w:r w:rsidR="00BD421D" w:rsidRPr="00F546F5">
      <w:rPr>
        <w:lang w:val="fr-FR"/>
      </w:rPr>
      <w:t xml:space="preserve">c. </w:t>
    </w:r>
    <w:r>
      <w:rPr>
        <w:lang w:val="fr-FR"/>
      </w:rPr>
      <w:t xml:space="preserve">ITALIE (SATISFACTION ÉQUITABLE) </w:t>
    </w:r>
    <w:r>
      <w:rPr>
        <w:lang w:val="fr-FR"/>
      </w:rPr>
      <w:tab/>
    </w:r>
    <w:r w:rsidR="00BD421D">
      <w:rPr>
        <w:rStyle w:val="Numeropagina"/>
        <w:lang w:val="en-GB"/>
      </w:rPr>
      <w:fldChar w:fldCharType="begin"/>
    </w:r>
    <w:r w:rsidR="00BD421D" w:rsidRPr="00F546F5">
      <w:rPr>
        <w:rStyle w:val="Numeropagina"/>
        <w:lang w:val="fr-FR"/>
      </w:rPr>
      <w:instrText xml:space="preserve"> PAGE </w:instrText>
    </w:r>
    <w:r w:rsidR="00BD421D">
      <w:rPr>
        <w:rStyle w:val="Numeropagina"/>
        <w:lang w:val="en-GB"/>
      </w:rPr>
      <w:fldChar w:fldCharType="separate"/>
    </w:r>
    <w:r w:rsidR="00EC3C6C">
      <w:rPr>
        <w:rStyle w:val="Numeropagina"/>
        <w:noProof/>
        <w:lang w:val="fr-FR"/>
      </w:rPr>
      <w:t>13</w:t>
    </w:r>
    <w:r w:rsidR="00BD421D">
      <w:rPr>
        <w:rStyle w:val="Numeropagina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406D0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275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8B3B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56AA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D4228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44CA622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FBD6FE5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7DA5D7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6CDA51D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6578C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7500B3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70332422"/>
    <w:multiLevelType w:val="hybridMultilevel"/>
    <w:tmpl w:val="D816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96CD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3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Application" w:val="7"/>
    <w:docVar w:name="NBEMMDOC" w:val="0"/>
    <w:docVar w:name="SignForeName" w:val="0"/>
  </w:docVars>
  <w:rsids>
    <w:rsidRoot w:val="004836FA"/>
    <w:rsid w:val="000041F8"/>
    <w:rsid w:val="000042A8"/>
    <w:rsid w:val="00004308"/>
    <w:rsid w:val="0000478A"/>
    <w:rsid w:val="000054BB"/>
    <w:rsid w:val="00005BF0"/>
    <w:rsid w:val="00007154"/>
    <w:rsid w:val="000103AE"/>
    <w:rsid w:val="00011D69"/>
    <w:rsid w:val="00012AD3"/>
    <w:rsid w:val="00015C2D"/>
    <w:rsid w:val="00015F00"/>
    <w:rsid w:val="00022152"/>
    <w:rsid w:val="00022C1D"/>
    <w:rsid w:val="00026D66"/>
    <w:rsid w:val="00034987"/>
    <w:rsid w:val="00052902"/>
    <w:rsid w:val="00057A6D"/>
    <w:rsid w:val="000602DF"/>
    <w:rsid w:val="00061B05"/>
    <w:rsid w:val="000632D5"/>
    <w:rsid w:val="000642F9"/>
    <w:rsid w:val="000644EE"/>
    <w:rsid w:val="000645F5"/>
    <w:rsid w:val="000711AA"/>
    <w:rsid w:val="00077ABC"/>
    <w:rsid w:val="00077BD6"/>
    <w:rsid w:val="00087C07"/>
    <w:rsid w:val="000925AD"/>
    <w:rsid w:val="0009305A"/>
    <w:rsid w:val="00094569"/>
    <w:rsid w:val="000A24EB"/>
    <w:rsid w:val="000A5427"/>
    <w:rsid w:val="000A5BA0"/>
    <w:rsid w:val="000B027A"/>
    <w:rsid w:val="000B6923"/>
    <w:rsid w:val="000C5F3C"/>
    <w:rsid w:val="000C6DCC"/>
    <w:rsid w:val="000D17B7"/>
    <w:rsid w:val="000D47AA"/>
    <w:rsid w:val="000D5387"/>
    <w:rsid w:val="000D721F"/>
    <w:rsid w:val="000E069B"/>
    <w:rsid w:val="000E0AF0"/>
    <w:rsid w:val="000E0E82"/>
    <w:rsid w:val="000E1DC5"/>
    <w:rsid w:val="000E2070"/>
    <w:rsid w:val="000E223F"/>
    <w:rsid w:val="000E7D45"/>
    <w:rsid w:val="000F6C0F"/>
    <w:rsid w:val="000F7851"/>
    <w:rsid w:val="00104E23"/>
    <w:rsid w:val="0011076E"/>
    <w:rsid w:val="00111B0C"/>
    <w:rsid w:val="00120D6C"/>
    <w:rsid w:val="001257EC"/>
    <w:rsid w:val="001271A5"/>
    <w:rsid w:val="00133D33"/>
    <w:rsid w:val="00134D64"/>
    <w:rsid w:val="00135A30"/>
    <w:rsid w:val="00135F0D"/>
    <w:rsid w:val="0013612C"/>
    <w:rsid w:val="00137FF6"/>
    <w:rsid w:val="00141650"/>
    <w:rsid w:val="00143667"/>
    <w:rsid w:val="00144EF8"/>
    <w:rsid w:val="001501F6"/>
    <w:rsid w:val="00156FB2"/>
    <w:rsid w:val="001626C5"/>
    <w:rsid w:val="00162A12"/>
    <w:rsid w:val="00163527"/>
    <w:rsid w:val="00163923"/>
    <w:rsid w:val="0016619A"/>
    <w:rsid w:val="00166530"/>
    <w:rsid w:val="0017007A"/>
    <w:rsid w:val="00173E19"/>
    <w:rsid w:val="00182771"/>
    <w:rsid w:val="001832BD"/>
    <w:rsid w:val="0019176B"/>
    <w:rsid w:val="00193E30"/>
    <w:rsid w:val="001943B5"/>
    <w:rsid w:val="0019442D"/>
    <w:rsid w:val="00195134"/>
    <w:rsid w:val="001952E4"/>
    <w:rsid w:val="0019743F"/>
    <w:rsid w:val="001A145B"/>
    <w:rsid w:val="001A2A23"/>
    <w:rsid w:val="001A344B"/>
    <w:rsid w:val="001A674C"/>
    <w:rsid w:val="001B1648"/>
    <w:rsid w:val="001B3B24"/>
    <w:rsid w:val="001B670C"/>
    <w:rsid w:val="001C078F"/>
    <w:rsid w:val="001C0F98"/>
    <w:rsid w:val="001C2A42"/>
    <w:rsid w:val="001C4CE6"/>
    <w:rsid w:val="001D1AE8"/>
    <w:rsid w:val="001D3A7A"/>
    <w:rsid w:val="001D63ED"/>
    <w:rsid w:val="001D7338"/>
    <w:rsid w:val="001D7348"/>
    <w:rsid w:val="001E022D"/>
    <w:rsid w:val="001E035B"/>
    <w:rsid w:val="001E036B"/>
    <w:rsid w:val="001E0961"/>
    <w:rsid w:val="001E16AD"/>
    <w:rsid w:val="001E3EAE"/>
    <w:rsid w:val="001E3F1E"/>
    <w:rsid w:val="001E4A9A"/>
    <w:rsid w:val="001E57A9"/>
    <w:rsid w:val="001E6F32"/>
    <w:rsid w:val="001E6F9B"/>
    <w:rsid w:val="001F1DFE"/>
    <w:rsid w:val="001F2145"/>
    <w:rsid w:val="001F3148"/>
    <w:rsid w:val="001F6262"/>
    <w:rsid w:val="001F67B0"/>
    <w:rsid w:val="001F7B3D"/>
    <w:rsid w:val="00205F9F"/>
    <w:rsid w:val="00210338"/>
    <w:rsid w:val="00210BBD"/>
    <w:rsid w:val="00211130"/>
    <w:rsid w:val="002115FC"/>
    <w:rsid w:val="002138CA"/>
    <w:rsid w:val="0021423C"/>
    <w:rsid w:val="00221559"/>
    <w:rsid w:val="002249C7"/>
    <w:rsid w:val="00230D00"/>
    <w:rsid w:val="00231DF7"/>
    <w:rsid w:val="00231FD1"/>
    <w:rsid w:val="002339E0"/>
    <w:rsid w:val="00233CF8"/>
    <w:rsid w:val="00234F73"/>
    <w:rsid w:val="0023575D"/>
    <w:rsid w:val="00237148"/>
    <w:rsid w:val="0024222D"/>
    <w:rsid w:val="002432DE"/>
    <w:rsid w:val="00244B0E"/>
    <w:rsid w:val="00244F6C"/>
    <w:rsid w:val="00247345"/>
    <w:rsid w:val="00250884"/>
    <w:rsid w:val="002532C5"/>
    <w:rsid w:val="00253BA1"/>
    <w:rsid w:val="00254FFC"/>
    <w:rsid w:val="00255A12"/>
    <w:rsid w:val="00260C03"/>
    <w:rsid w:val="00262437"/>
    <w:rsid w:val="00263C38"/>
    <w:rsid w:val="002653BE"/>
    <w:rsid w:val="0026540E"/>
    <w:rsid w:val="00273C4A"/>
    <w:rsid w:val="00275123"/>
    <w:rsid w:val="00282240"/>
    <w:rsid w:val="002948AD"/>
    <w:rsid w:val="00297E2A"/>
    <w:rsid w:val="00297E2C"/>
    <w:rsid w:val="002A01CC"/>
    <w:rsid w:val="002A61B1"/>
    <w:rsid w:val="002A663C"/>
    <w:rsid w:val="002B444B"/>
    <w:rsid w:val="002B5887"/>
    <w:rsid w:val="002C0E27"/>
    <w:rsid w:val="002C3040"/>
    <w:rsid w:val="002C445A"/>
    <w:rsid w:val="002D022D"/>
    <w:rsid w:val="002D1921"/>
    <w:rsid w:val="002D24BB"/>
    <w:rsid w:val="002D4542"/>
    <w:rsid w:val="002D4B8B"/>
    <w:rsid w:val="002E42FF"/>
    <w:rsid w:val="002F2AF7"/>
    <w:rsid w:val="002F7E1C"/>
    <w:rsid w:val="00300871"/>
    <w:rsid w:val="00301A75"/>
    <w:rsid w:val="00302F70"/>
    <w:rsid w:val="0030336F"/>
    <w:rsid w:val="0030375E"/>
    <w:rsid w:val="00303A59"/>
    <w:rsid w:val="003113A5"/>
    <w:rsid w:val="00312A30"/>
    <w:rsid w:val="00315105"/>
    <w:rsid w:val="00320F72"/>
    <w:rsid w:val="00321398"/>
    <w:rsid w:val="00321BFD"/>
    <w:rsid w:val="0032463E"/>
    <w:rsid w:val="00326224"/>
    <w:rsid w:val="00326359"/>
    <w:rsid w:val="003278EF"/>
    <w:rsid w:val="00330B2A"/>
    <w:rsid w:val="00337EE4"/>
    <w:rsid w:val="00340FFD"/>
    <w:rsid w:val="0034306B"/>
    <w:rsid w:val="003506B1"/>
    <w:rsid w:val="00352564"/>
    <w:rsid w:val="00356AC7"/>
    <w:rsid w:val="003609FA"/>
    <w:rsid w:val="00360DE2"/>
    <w:rsid w:val="00365FF6"/>
    <w:rsid w:val="003710C8"/>
    <w:rsid w:val="00374A00"/>
    <w:rsid w:val="003750BE"/>
    <w:rsid w:val="003755C5"/>
    <w:rsid w:val="00384C18"/>
    <w:rsid w:val="00384C62"/>
    <w:rsid w:val="00387B9D"/>
    <w:rsid w:val="0039364F"/>
    <w:rsid w:val="00396686"/>
    <w:rsid w:val="00397024"/>
    <w:rsid w:val="0039778E"/>
    <w:rsid w:val="003A008F"/>
    <w:rsid w:val="003A313E"/>
    <w:rsid w:val="003A6492"/>
    <w:rsid w:val="003A6C89"/>
    <w:rsid w:val="003B4941"/>
    <w:rsid w:val="003B4E61"/>
    <w:rsid w:val="003C327F"/>
    <w:rsid w:val="003C5714"/>
    <w:rsid w:val="003C6B9F"/>
    <w:rsid w:val="003C6E2A"/>
    <w:rsid w:val="003D0299"/>
    <w:rsid w:val="003D07D9"/>
    <w:rsid w:val="003D568C"/>
    <w:rsid w:val="003D6245"/>
    <w:rsid w:val="003E6D80"/>
    <w:rsid w:val="003F05FA"/>
    <w:rsid w:val="003F244A"/>
    <w:rsid w:val="003F30B8"/>
    <w:rsid w:val="003F4C45"/>
    <w:rsid w:val="003F5F7B"/>
    <w:rsid w:val="003F702C"/>
    <w:rsid w:val="003F7D64"/>
    <w:rsid w:val="00414300"/>
    <w:rsid w:val="00421116"/>
    <w:rsid w:val="004244F6"/>
    <w:rsid w:val="00425C67"/>
    <w:rsid w:val="00427E7A"/>
    <w:rsid w:val="004329E5"/>
    <w:rsid w:val="00433B62"/>
    <w:rsid w:val="00434FCF"/>
    <w:rsid w:val="004356DE"/>
    <w:rsid w:val="00436C49"/>
    <w:rsid w:val="00445366"/>
    <w:rsid w:val="00446A93"/>
    <w:rsid w:val="00447F5B"/>
    <w:rsid w:val="00453322"/>
    <w:rsid w:val="00453DF9"/>
    <w:rsid w:val="00461DB0"/>
    <w:rsid w:val="00463926"/>
    <w:rsid w:val="00464C9A"/>
    <w:rsid w:val="00474F3D"/>
    <w:rsid w:val="00477E3A"/>
    <w:rsid w:val="00482EFD"/>
    <w:rsid w:val="004836F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2B2"/>
    <w:rsid w:val="004C086C"/>
    <w:rsid w:val="004C1043"/>
    <w:rsid w:val="004C1F56"/>
    <w:rsid w:val="004C27BC"/>
    <w:rsid w:val="004D15F3"/>
    <w:rsid w:val="004D1A15"/>
    <w:rsid w:val="004D5311"/>
    <w:rsid w:val="004D5967"/>
    <w:rsid w:val="004D5C79"/>
    <w:rsid w:val="004D5DCC"/>
    <w:rsid w:val="004E62C1"/>
    <w:rsid w:val="004F0021"/>
    <w:rsid w:val="004F10AF"/>
    <w:rsid w:val="004F11A4"/>
    <w:rsid w:val="004F2389"/>
    <w:rsid w:val="004F304D"/>
    <w:rsid w:val="004F4CDC"/>
    <w:rsid w:val="004F61BE"/>
    <w:rsid w:val="004F63CF"/>
    <w:rsid w:val="004F66B1"/>
    <w:rsid w:val="00506CE5"/>
    <w:rsid w:val="00507E2F"/>
    <w:rsid w:val="00510615"/>
    <w:rsid w:val="00511C07"/>
    <w:rsid w:val="005121DA"/>
    <w:rsid w:val="00514608"/>
    <w:rsid w:val="005173A6"/>
    <w:rsid w:val="00520BAA"/>
    <w:rsid w:val="00520D33"/>
    <w:rsid w:val="00520F5A"/>
    <w:rsid w:val="00525208"/>
    <w:rsid w:val="005257A5"/>
    <w:rsid w:val="005264C0"/>
    <w:rsid w:val="00526A8A"/>
    <w:rsid w:val="00531DF2"/>
    <w:rsid w:val="0053213C"/>
    <w:rsid w:val="00537205"/>
    <w:rsid w:val="005442EE"/>
    <w:rsid w:val="00547353"/>
    <w:rsid w:val="005474E7"/>
    <w:rsid w:val="005512A3"/>
    <w:rsid w:val="00555CBB"/>
    <w:rsid w:val="005578CE"/>
    <w:rsid w:val="00562781"/>
    <w:rsid w:val="005678F7"/>
    <w:rsid w:val="00567E7E"/>
    <w:rsid w:val="0057271C"/>
    <w:rsid w:val="00572845"/>
    <w:rsid w:val="00572D2D"/>
    <w:rsid w:val="00574C20"/>
    <w:rsid w:val="00575848"/>
    <w:rsid w:val="005761CD"/>
    <w:rsid w:val="00577BD0"/>
    <w:rsid w:val="00582FF0"/>
    <w:rsid w:val="005831D3"/>
    <w:rsid w:val="00585E1F"/>
    <w:rsid w:val="00587D16"/>
    <w:rsid w:val="00592772"/>
    <w:rsid w:val="00592FA4"/>
    <w:rsid w:val="005932A9"/>
    <w:rsid w:val="0059574A"/>
    <w:rsid w:val="005978B1"/>
    <w:rsid w:val="005A0D57"/>
    <w:rsid w:val="005A1B9B"/>
    <w:rsid w:val="005A208D"/>
    <w:rsid w:val="005A47E5"/>
    <w:rsid w:val="005A6751"/>
    <w:rsid w:val="005A7655"/>
    <w:rsid w:val="005B092E"/>
    <w:rsid w:val="005B152C"/>
    <w:rsid w:val="005B1EE0"/>
    <w:rsid w:val="005B2B24"/>
    <w:rsid w:val="005B3309"/>
    <w:rsid w:val="005B4425"/>
    <w:rsid w:val="005B4B94"/>
    <w:rsid w:val="005B5072"/>
    <w:rsid w:val="005C152C"/>
    <w:rsid w:val="005C3E82"/>
    <w:rsid w:val="005C3EE8"/>
    <w:rsid w:val="005C5D89"/>
    <w:rsid w:val="005D34F9"/>
    <w:rsid w:val="005D4190"/>
    <w:rsid w:val="005D61A7"/>
    <w:rsid w:val="005D67A3"/>
    <w:rsid w:val="005D6B44"/>
    <w:rsid w:val="005E0A00"/>
    <w:rsid w:val="005E2988"/>
    <w:rsid w:val="005E3085"/>
    <w:rsid w:val="005F51E1"/>
    <w:rsid w:val="00600EA0"/>
    <w:rsid w:val="0060507C"/>
    <w:rsid w:val="00611C80"/>
    <w:rsid w:val="0061471D"/>
    <w:rsid w:val="00616F87"/>
    <w:rsid w:val="0061716B"/>
    <w:rsid w:val="00617ADA"/>
    <w:rsid w:val="00620692"/>
    <w:rsid w:val="006242CA"/>
    <w:rsid w:val="00626EF3"/>
    <w:rsid w:val="00627507"/>
    <w:rsid w:val="00627989"/>
    <w:rsid w:val="00633717"/>
    <w:rsid w:val="006344E1"/>
    <w:rsid w:val="00636B57"/>
    <w:rsid w:val="0065102F"/>
    <w:rsid w:val="006545C4"/>
    <w:rsid w:val="00657258"/>
    <w:rsid w:val="00661971"/>
    <w:rsid w:val="00661CE8"/>
    <w:rsid w:val="006623D9"/>
    <w:rsid w:val="0066550C"/>
    <w:rsid w:val="006716F2"/>
    <w:rsid w:val="00677642"/>
    <w:rsid w:val="00680DFF"/>
    <w:rsid w:val="006824B8"/>
    <w:rsid w:val="00682BF2"/>
    <w:rsid w:val="006859CE"/>
    <w:rsid w:val="0069054D"/>
    <w:rsid w:val="00691270"/>
    <w:rsid w:val="0069301E"/>
    <w:rsid w:val="00694BA8"/>
    <w:rsid w:val="00695229"/>
    <w:rsid w:val="006A0065"/>
    <w:rsid w:val="006A037C"/>
    <w:rsid w:val="006A1A5E"/>
    <w:rsid w:val="006A36F4"/>
    <w:rsid w:val="006A406F"/>
    <w:rsid w:val="006A5D3A"/>
    <w:rsid w:val="006B0415"/>
    <w:rsid w:val="006B2E2C"/>
    <w:rsid w:val="006B2E50"/>
    <w:rsid w:val="006B47D8"/>
    <w:rsid w:val="006B6176"/>
    <w:rsid w:val="006C23D4"/>
    <w:rsid w:val="006C381A"/>
    <w:rsid w:val="006C7BB0"/>
    <w:rsid w:val="006D1F3B"/>
    <w:rsid w:val="006D292D"/>
    <w:rsid w:val="006D3237"/>
    <w:rsid w:val="006D35D1"/>
    <w:rsid w:val="006D711F"/>
    <w:rsid w:val="006E12CC"/>
    <w:rsid w:val="006E17ED"/>
    <w:rsid w:val="006E2E37"/>
    <w:rsid w:val="006E2E79"/>
    <w:rsid w:val="006E3CF1"/>
    <w:rsid w:val="006E7E80"/>
    <w:rsid w:val="006F414F"/>
    <w:rsid w:val="006F41A2"/>
    <w:rsid w:val="006F48CA"/>
    <w:rsid w:val="006F64DD"/>
    <w:rsid w:val="006F6B02"/>
    <w:rsid w:val="00701CC3"/>
    <w:rsid w:val="0071175C"/>
    <w:rsid w:val="00714584"/>
    <w:rsid w:val="00715127"/>
    <w:rsid w:val="00715E8E"/>
    <w:rsid w:val="00720850"/>
    <w:rsid w:val="00723580"/>
    <w:rsid w:val="00723755"/>
    <w:rsid w:val="0072450A"/>
    <w:rsid w:val="007309F3"/>
    <w:rsid w:val="0073136C"/>
    <w:rsid w:val="00731F0F"/>
    <w:rsid w:val="00733250"/>
    <w:rsid w:val="00733888"/>
    <w:rsid w:val="0073550F"/>
    <w:rsid w:val="00736B2C"/>
    <w:rsid w:val="00737ABB"/>
    <w:rsid w:val="00741404"/>
    <w:rsid w:val="00743E40"/>
    <w:rsid w:val="007449E5"/>
    <w:rsid w:val="007460CC"/>
    <w:rsid w:val="00747FF0"/>
    <w:rsid w:val="00754756"/>
    <w:rsid w:val="00755741"/>
    <w:rsid w:val="0076244D"/>
    <w:rsid w:val="00764D4E"/>
    <w:rsid w:val="00765A1F"/>
    <w:rsid w:val="00771D4A"/>
    <w:rsid w:val="00775B6D"/>
    <w:rsid w:val="00776D68"/>
    <w:rsid w:val="00777191"/>
    <w:rsid w:val="00777782"/>
    <w:rsid w:val="0078111D"/>
    <w:rsid w:val="007823EF"/>
    <w:rsid w:val="007850EE"/>
    <w:rsid w:val="00785B95"/>
    <w:rsid w:val="00787946"/>
    <w:rsid w:val="007904D4"/>
    <w:rsid w:val="00790E96"/>
    <w:rsid w:val="00793366"/>
    <w:rsid w:val="007951B2"/>
    <w:rsid w:val="007955EE"/>
    <w:rsid w:val="007A2C27"/>
    <w:rsid w:val="007A716F"/>
    <w:rsid w:val="007B0C7E"/>
    <w:rsid w:val="007B270A"/>
    <w:rsid w:val="007B47B5"/>
    <w:rsid w:val="007B5068"/>
    <w:rsid w:val="007C0695"/>
    <w:rsid w:val="007C2C9B"/>
    <w:rsid w:val="007C419A"/>
    <w:rsid w:val="007C4CC8"/>
    <w:rsid w:val="007C5426"/>
    <w:rsid w:val="007C5798"/>
    <w:rsid w:val="007D32AE"/>
    <w:rsid w:val="007D4832"/>
    <w:rsid w:val="007D5DBE"/>
    <w:rsid w:val="007E209B"/>
    <w:rsid w:val="007E2107"/>
    <w:rsid w:val="007E21B2"/>
    <w:rsid w:val="007E2C4E"/>
    <w:rsid w:val="007F1905"/>
    <w:rsid w:val="00801300"/>
    <w:rsid w:val="0080223B"/>
    <w:rsid w:val="008025FC"/>
    <w:rsid w:val="00802BD5"/>
    <w:rsid w:val="00802C64"/>
    <w:rsid w:val="00805E52"/>
    <w:rsid w:val="008061D0"/>
    <w:rsid w:val="00810B38"/>
    <w:rsid w:val="00812308"/>
    <w:rsid w:val="0081493A"/>
    <w:rsid w:val="008204C7"/>
    <w:rsid w:val="00820992"/>
    <w:rsid w:val="00820CAF"/>
    <w:rsid w:val="00823602"/>
    <w:rsid w:val="008255F5"/>
    <w:rsid w:val="0083014E"/>
    <w:rsid w:val="0083214A"/>
    <w:rsid w:val="00832993"/>
    <w:rsid w:val="00834220"/>
    <w:rsid w:val="0083773C"/>
    <w:rsid w:val="008377D6"/>
    <w:rsid w:val="00841E59"/>
    <w:rsid w:val="00844B5A"/>
    <w:rsid w:val="00844EA8"/>
    <w:rsid w:val="00845723"/>
    <w:rsid w:val="00851EF9"/>
    <w:rsid w:val="0085280E"/>
    <w:rsid w:val="0085297C"/>
    <w:rsid w:val="008545D9"/>
    <w:rsid w:val="00857157"/>
    <w:rsid w:val="008577FD"/>
    <w:rsid w:val="008602C8"/>
    <w:rsid w:val="00860B03"/>
    <w:rsid w:val="0086449D"/>
    <w:rsid w:val="0086497A"/>
    <w:rsid w:val="008713A1"/>
    <w:rsid w:val="00872E54"/>
    <w:rsid w:val="008754AB"/>
    <w:rsid w:val="0088060C"/>
    <w:rsid w:val="00885FC1"/>
    <w:rsid w:val="00890581"/>
    <w:rsid w:val="00890B9D"/>
    <w:rsid w:val="00893576"/>
    <w:rsid w:val="00893E73"/>
    <w:rsid w:val="00896F53"/>
    <w:rsid w:val="008A2E7B"/>
    <w:rsid w:val="008A39FA"/>
    <w:rsid w:val="008A7763"/>
    <w:rsid w:val="008B02DC"/>
    <w:rsid w:val="008B1684"/>
    <w:rsid w:val="008B57CE"/>
    <w:rsid w:val="008C26DE"/>
    <w:rsid w:val="008C5401"/>
    <w:rsid w:val="008D2225"/>
    <w:rsid w:val="008D4752"/>
    <w:rsid w:val="008D54DD"/>
    <w:rsid w:val="008E06C1"/>
    <w:rsid w:val="008E271C"/>
    <w:rsid w:val="008E418E"/>
    <w:rsid w:val="008E5BC6"/>
    <w:rsid w:val="008E6A25"/>
    <w:rsid w:val="008E6BBA"/>
    <w:rsid w:val="008F2C01"/>
    <w:rsid w:val="008F5193"/>
    <w:rsid w:val="009013A7"/>
    <w:rsid w:val="009017FB"/>
    <w:rsid w:val="009017FC"/>
    <w:rsid w:val="00903DF3"/>
    <w:rsid w:val="0090506B"/>
    <w:rsid w:val="009050C9"/>
    <w:rsid w:val="009066FC"/>
    <w:rsid w:val="009140A3"/>
    <w:rsid w:val="009144A2"/>
    <w:rsid w:val="0091510C"/>
    <w:rsid w:val="009259AC"/>
    <w:rsid w:val="009267FE"/>
    <w:rsid w:val="00926F38"/>
    <w:rsid w:val="009336B1"/>
    <w:rsid w:val="00934301"/>
    <w:rsid w:val="00934747"/>
    <w:rsid w:val="00936CD1"/>
    <w:rsid w:val="00937B89"/>
    <w:rsid w:val="00941747"/>
    <w:rsid w:val="00941A02"/>
    <w:rsid w:val="00941EFB"/>
    <w:rsid w:val="00947AFB"/>
    <w:rsid w:val="00951D7D"/>
    <w:rsid w:val="00955602"/>
    <w:rsid w:val="00956E76"/>
    <w:rsid w:val="00957DE3"/>
    <w:rsid w:val="00957E26"/>
    <w:rsid w:val="00960D53"/>
    <w:rsid w:val="009630C7"/>
    <w:rsid w:val="00972B55"/>
    <w:rsid w:val="009743B7"/>
    <w:rsid w:val="009815E8"/>
    <w:rsid w:val="00982087"/>
    <w:rsid w:val="0098228B"/>
    <w:rsid w:val="009828DA"/>
    <w:rsid w:val="00984309"/>
    <w:rsid w:val="00985BAB"/>
    <w:rsid w:val="00992A6D"/>
    <w:rsid w:val="0099662D"/>
    <w:rsid w:val="009A03A4"/>
    <w:rsid w:val="009A2EAF"/>
    <w:rsid w:val="009B1B5F"/>
    <w:rsid w:val="009B6673"/>
    <w:rsid w:val="009C191B"/>
    <w:rsid w:val="009C2BD6"/>
    <w:rsid w:val="009D4EFF"/>
    <w:rsid w:val="009D6113"/>
    <w:rsid w:val="009D7A43"/>
    <w:rsid w:val="009D7CC4"/>
    <w:rsid w:val="009E0857"/>
    <w:rsid w:val="009E1F32"/>
    <w:rsid w:val="009E209A"/>
    <w:rsid w:val="009E26AB"/>
    <w:rsid w:val="009E4DD2"/>
    <w:rsid w:val="009E776C"/>
    <w:rsid w:val="009F4895"/>
    <w:rsid w:val="00A00E62"/>
    <w:rsid w:val="00A10FD9"/>
    <w:rsid w:val="00A13A99"/>
    <w:rsid w:val="00A1726E"/>
    <w:rsid w:val="00A204CF"/>
    <w:rsid w:val="00A229D8"/>
    <w:rsid w:val="00A238C1"/>
    <w:rsid w:val="00A23D49"/>
    <w:rsid w:val="00A27004"/>
    <w:rsid w:val="00A30C29"/>
    <w:rsid w:val="00A320A0"/>
    <w:rsid w:val="00A32F41"/>
    <w:rsid w:val="00A34DD6"/>
    <w:rsid w:val="00A35722"/>
    <w:rsid w:val="00A36819"/>
    <w:rsid w:val="00A36989"/>
    <w:rsid w:val="00A41867"/>
    <w:rsid w:val="00A41D81"/>
    <w:rsid w:val="00A43628"/>
    <w:rsid w:val="00A54192"/>
    <w:rsid w:val="00A56C12"/>
    <w:rsid w:val="00A6035E"/>
    <w:rsid w:val="00A6144C"/>
    <w:rsid w:val="00A66617"/>
    <w:rsid w:val="00A671F8"/>
    <w:rsid w:val="00A673A4"/>
    <w:rsid w:val="00A71646"/>
    <w:rsid w:val="00A724AE"/>
    <w:rsid w:val="00A73329"/>
    <w:rsid w:val="00A82359"/>
    <w:rsid w:val="00A865D2"/>
    <w:rsid w:val="00A94C20"/>
    <w:rsid w:val="00A9590D"/>
    <w:rsid w:val="00AA227F"/>
    <w:rsid w:val="00AA3BC7"/>
    <w:rsid w:val="00AA60E4"/>
    <w:rsid w:val="00AA754A"/>
    <w:rsid w:val="00AB03F6"/>
    <w:rsid w:val="00AB099E"/>
    <w:rsid w:val="00AB0F98"/>
    <w:rsid w:val="00AB4328"/>
    <w:rsid w:val="00AB52CB"/>
    <w:rsid w:val="00AB5E93"/>
    <w:rsid w:val="00AB670C"/>
    <w:rsid w:val="00AD265C"/>
    <w:rsid w:val="00AE0A2E"/>
    <w:rsid w:val="00AE1BA4"/>
    <w:rsid w:val="00AE2228"/>
    <w:rsid w:val="00AE354C"/>
    <w:rsid w:val="00AF0101"/>
    <w:rsid w:val="00AF2748"/>
    <w:rsid w:val="00AF4B07"/>
    <w:rsid w:val="00AF5467"/>
    <w:rsid w:val="00AF6186"/>
    <w:rsid w:val="00AF7A3A"/>
    <w:rsid w:val="00B00BF1"/>
    <w:rsid w:val="00B05EA8"/>
    <w:rsid w:val="00B101B8"/>
    <w:rsid w:val="00B13985"/>
    <w:rsid w:val="00B14F60"/>
    <w:rsid w:val="00B15F7C"/>
    <w:rsid w:val="00B160DB"/>
    <w:rsid w:val="00B17DF9"/>
    <w:rsid w:val="00B20836"/>
    <w:rsid w:val="00B216E7"/>
    <w:rsid w:val="00B23529"/>
    <w:rsid w:val="00B235BB"/>
    <w:rsid w:val="00B27A44"/>
    <w:rsid w:val="00B30BBF"/>
    <w:rsid w:val="00B31688"/>
    <w:rsid w:val="00B33C03"/>
    <w:rsid w:val="00B406AF"/>
    <w:rsid w:val="00B44E56"/>
    <w:rsid w:val="00B46543"/>
    <w:rsid w:val="00B47D33"/>
    <w:rsid w:val="00B52BE0"/>
    <w:rsid w:val="00B53AE0"/>
    <w:rsid w:val="00B54133"/>
    <w:rsid w:val="00B5731B"/>
    <w:rsid w:val="00B614AA"/>
    <w:rsid w:val="00B653A5"/>
    <w:rsid w:val="00B701ED"/>
    <w:rsid w:val="00B71907"/>
    <w:rsid w:val="00B75051"/>
    <w:rsid w:val="00B7514F"/>
    <w:rsid w:val="00B8086C"/>
    <w:rsid w:val="00B861B4"/>
    <w:rsid w:val="00B862D1"/>
    <w:rsid w:val="00B86DFE"/>
    <w:rsid w:val="00B90990"/>
    <w:rsid w:val="00B91A37"/>
    <w:rsid w:val="00B922FF"/>
    <w:rsid w:val="00B9281E"/>
    <w:rsid w:val="00B93925"/>
    <w:rsid w:val="00B95187"/>
    <w:rsid w:val="00BA2D55"/>
    <w:rsid w:val="00BA58C1"/>
    <w:rsid w:val="00BA5CC6"/>
    <w:rsid w:val="00BA71B1"/>
    <w:rsid w:val="00BB0637"/>
    <w:rsid w:val="00BB197C"/>
    <w:rsid w:val="00BB345F"/>
    <w:rsid w:val="00BB5EC5"/>
    <w:rsid w:val="00BB68EA"/>
    <w:rsid w:val="00BB770C"/>
    <w:rsid w:val="00BC0180"/>
    <w:rsid w:val="00BC1C27"/>
    <w:rsid w:val="00BC335A"/>
    <w:rsid w:val="00BC68B6"/>
    <w:rsid w:val="00BC6BBF"/>
    <w:rsid w:val="00BC6FC0"/>
    <w:rsid w:val="00BC737B"/>
    <w:rsid w:val="00BD1572"/>
    <w:rsid w:val="00BD421D"/>
    <w:rsid w:val="00BE034C"/>
    <w:rsid w:val="00BE1248"/>
    <w:rsid w:val="00BE14E3"/>
    <w:rsid w:val="00BE36B2"/>
    <w:rsid w:val="00BE3774"/>
    <w:rsid w:val="00BE41E5"/>
    <w:rsid w:val="00BE7D82"/>
    <w:rsid w:val="00BF29A4"/>
    <w:rsid w:val="00BF4109"/>
    <w:rsid w:val="00BF4CC3"/>
    <w:rsid w:val="00BF600F"/>
    <w:rsid w:val="00BF6325"/>
    <w:rsid w:val="00BF7FC9"/>
    <w:rsid w:val="00C03A17"/>
    <w:rsid w:val="00C054C7"/>
    <w:rsid w:val="00C057B5"/>
    <w:rsid w:val="00C1256E"/>
    <w:rsid w:val="00C154B9"/>
    <w:rsid w:val="00C16CF8"/>
    <w:rsid w:val="00C22687"/>
    <w:rsid w:val="00C32E4D"/>
    <w:rsid w:val="00C333A0"/>
    <w:rsid w:val="00C3496F"/>
    <w:rsid w:val="00C36408"/>
    <w:rsid w:val="00C3649A"/>
    <w:rsid w:val="00C36A81"/>
    <w:rsid w:val="00C41974"/>
    <w:rsid w:val="00C44F6A"/>
    <w:rsid w:val="00C4546A"/>
    <w:rsid w:val="00C53F4A"/>
    <w:rsid w:val="00C54125"/>
    <w:rsid w:val="00C55B54"/>
    <w:rsid w:val="00C56BE2"/>
    <w:rsid w:val="00C576F9"/>
    <w:rsid w:val="00C57944"/>
    <w:rsid w:val="00C6098E"/>
    <w:rsid w:val="00C6152C"/>
    <w:rsid w:val="00C64342"/>
    <w:rsid w:val="00C70C19"/>
    <w:rsid w:val="00C74810"/>
    <w:rsid w:val="00C83601"/>
    <w:rsid w:val="00C90D68"/>
    <w:rsid w:val="00C919A7"/>
    <w:rsid w:val="00C92FE4"/>
    <w:rsid w:val="00C939FE"/>
    <w:rsid w:val="00C95E1E"/>
    <w:rsid w:val="00C96C84"/>
    <w:rsid w:val="00CA4BDA"/>
    <w:rsid w:val="00CB1F66"/>
    <w:rsid w:val="00CB2951"/>
    <w:rsid w:val="00CC1900"/>
    <w:rsid w:val="00CC2040"/>
    <w:rsid w:val="00CC3F90"/>
    <w:rsid w:val="00CC5E36"/>
    <w:rsid w:val="00CC7B29"/>
    <w:rsid w:val="00CD282B"/>
    <w:rsid w:val="00CD4C35"/>
    <w:rsid w:val="00CD7369"/>
    <w:rsid w:val="00CE0B0E"/>
    <w:rsid w:val="00CE20AA"/>
    <w:rsid w:val="00CE2B91"/>
    <w:rsid w:val="00CE3831"/>
    <w:rsid w:val="00CE6E01"/>
    <w:rsid w:val="00CF66BD"/>
    <w:rsid w:val="00CF799E"/>
    <w:rsid w:val="00D0036E"/>
    <w:rsid w:val="00D00ABB"/>
    <w:rsid w:val="00D01BD0"/>
    <w:rsid w:val="00D02EEC"/>
    <w:rsid w:val="00D03551"/>
    <w:rsid w:val="00D040C4"/>
    <w:rsid w:val="00D06A63"/>
    <w:rsid w:val="00D07E0E"/>
    <w:rsid w:val="00D11478"/>
    <w:rsid w:val="00D12FD3"/>
    <w:rsid w:val="00D15835"/>
    <w:rsid w:val="00D15ED0"/>
    <w:rsid w:val="00D16A8F"/>
    <w:rsid w:val="00D1735B"/>
    <w:rsid w:val="00D21B3E"/>
    <w:rsid w:val="00D21FED"/>
    <w:rsid w:val="00D24251"/>
    <w:rsid w:val="00D259D4"/>
    <w:rsid w:val="00D27C54"/>
    <w:rsid w:val="00D32C8D"/>
    <w:rsid w:val="00D343E2"/>
    <w:rsid w:val="00D361A2"/>
    <w:rsid w:val="00D40F0C"/>
    <w:rsid w:val="00D44C2E"/>
    <w:rsid w:val="00D45414"/>
    <w:rsid w:val="00D506F3"/>
    <w:rsid w:val="00D5335D"/>
    <w:rsid w:val="00D537F5"/>
    <w:rsid w:val="00D53AC8"/>
    <w:rsid w:val="00D54645"/>
    <w:rsid w:val="00D550AF"/>
    <w:rsid w:val="00D562C1"/>
    <w:rsid w:val="00D566BD"/>
    <w:rsid w:val="00D57A4D"/>
    <w:rsid w:val="00D60347"/>
    <w:rsid w:val="00D60AA7"/>
    <w:rsid w:val="00D6435F"/>
    <w:rsid w:val="00D64638"/>
    <w:rsid w:val="00D74F6F"/>
    <w:rsid w:val="00D75C10"/>
    <w:rsid w:val="00D75D62"/>
    <w:rsid w:val="00D75E28"/>
    <w:rsid w:val="00D76895"/>
    <w:rsid w:val="00D772C2"/>
    <w:rsid w:val="00D8008E"/>
    <w:rsid w:val="00D805D9"/>
    <w:rsid w:val="00D82C45"/>
    <w:rsid w:val="00D9089E"/>
    <w:rsid w:val="00D908A8"/>
    <w:rsid w:val="00D911AF"/>
    <w:rsid w:val="00D94135"/>
    <w:rsid w:val="00D977B6"/>
    <w:rsid w:val="00DA423C"/>
    <w:rsid w:val="00DA4A31"/>
    <w:rsid w:val="00DA7B04"/>
    <w:rsid w:val="00DB1ADA"/>
    <w:rsid w:val="00DB36C2"/>
    <w:rsid w:val="00DB47FC"/>
    <w:rsid w:val="00DC169B"/>
    <w:rsid w:val="00DC1B63"/>
    <w:rsid w:val="00DC2AB9"/>
    <w:rsid w:val="00DC2CA7"/>
    <w:rsid w:val="00DC63F0"/>
    <w:rsid w:val="00DC77BA"/>
    <w:rsid w:val="00DD4300"/>
    <w:rsid w:val="00DD4715"/>
    <w:rsid w:val="00DD5297"/>
    <w:rsid w:val="00DD6EE5"/>
    <w:rsid w:val="00DD70ED"/>
    <w:rsid w:val="00DE386C"/>
    <w:rsid w:val="00DE4D35"/>
    <w:rsid w:val="00DF098B"/>
    <w:rsid w:val="00DF11C4"/>
    <w:rsid w:val="00DF210C"/>
    <w:rsid w:val="00DF4B6A"/>
    <w:rsid w:val="00E007AF"/>
    <w:rsid w:val="00E027AF"/>
    <w:rsid w:val="00E02C09"/>
    <w:rsid w:val="00E04D59"/>
    <w:rsid w:val="00E064F3"/>
    <w:rsid w:val="00E07DA1"/>
    <w:rsid w:val="00E11B0E"/>
    <w:rsid w:val="00E123CB"/>
    <w:rsid w:val="00E20E13"/>
    <w:rsid w:val="00E21DBC"/>
    <w:rsid w:val="00E25320"/>
    <w:rsid w:val="00E275D7"/>
    <w:rsid w:val="00E27DBE"/>
    <w:rsid w:val="00E30E6E"/>
    <w:rsid w:val="00E31B09"/>
    <w:rsid w:val="00E31BDA"/>
    <w:rsid w:val="00E32AB1"/>
    <w:rsid w:val="00E36C71"/>
    <w:rsid w:val="00E40404"/>
    <w:rsid w:val="00E40DCF"/>
    <w:rsid w:val="00E459C6"/>
    <w:rsid w:val="00E47589"/>
    <w:rsid w:val="00E51F94"/>
    <w:rsid w:val="00E52BEA"/>
    <w:rsid w:val="00E610D2"/>
    <w:rsid w:val="00E64915"/>
    <w:rsid w:val="00E661D4"/>
    <w:rsid w:val="00E70091"/>
    <w:rsid w:val="00E720F5"/>
    <w:rsid w:val="00E76D47"/>
    <w:rsid w:val="00E83395"/>
    <w:rsid w:val="00E849F7"/>
    <w:rsid w:val="00E90302"/>
    <w:rsid w:val="00E91E38"/>
    <w:rsid w:val="00E96ECF"/>
    <w:rsid w:val="00E97396"/>
    <w:rsid w:val="00E97437"/>
    <w:rsid w:val="00EA185E"/>
    <w:rsid w:val="00EA55A7"/>
    <w:rsid w:val="00EA592A"/>
    <w:rsid w:val="00EB0D5F"/>
    <w:rsid w:val="00EB14E4"/>
    <w:rsid w:val="00EB32A5"/>
    <w:rsid w:val="00EB34ED"/>
    <w:rsid w:val="00EB4146"/>
    <w:rsid w:val="00EB6F9E"/>
    <w:rsid w:val="00EB7BE0"/>
    <w:rsid w:val="00EC044E"/>
    <w:rsid w:val="00EC0B7D"/>
    <w:rsid w:val="00EC0F8F"/>
    <w:rsid w:val="00EC315E"/>
    <w:rsid w:val="00EC3C6C"/>
    <w:rsid w:val="00ED077C"/>
    <w:rsid w:val="00ED1190"/>
    <w:rsid w:val="00ED3B1B"/>
    <w:rsid w:val="00ED49A7"/>
    <w:rsid w:val="00ED6544"/>
    <w:rsid w:val="00ED7E5F"/>
    <w:rsid w:val="00EE0277"/>
    <w:rsid w:val="00EE3E00"/>
    <w:rsid w:val="00EE5DD2"/>
    <w:rsid w:val="00F00A79"/>
    <w:rsid w:val="00F00E86"/>
    <w:rsid w:val="00F07C1E"/>
    <w:rsid w:val="00F105DB"/>
    <w:rsid w:val="00F114D5"/>
    <w:rsid w:val="00F12CBC"/>
    <w:rsid w:val="00F132BC"/>
    <w:rsid w:val="00F13D80"/>
    <w:rsid w:val="00F14D89"/>
    <w:rsid w:val="00F16AAA"/>
    <w:rsid w:val="00F20CB9"/>
    <w:rsid w:val="00F21161"/>
    <w:rsid w:val="00F218EF"/>
    <w:rsid w:val="00F21BC7"/>
    <w:rsid w:val="00F266A2"/>
    <w:rsid w:val="00F275CA"/>
    <w:rsid w:val="00F31499"/>
    <w:rsid w:val="00F32269"/>
    <w:rsid w:val="00F3297A"/>
    <w:rsid w:val="00F32B96"/>
    <w:rsid w:val="00F343F9"/>
    <w:rsid w:val="00F36549"/>
    <w:rsid w:val="00F43165"/>
    <w:rsid w:val="00F478D5"/>
    <w:rsid w:val="00F47FB9"/>
    <w:rsid w:val="00F56A6F"/>
    <w:rsid w:val="00F5709C"/>
    <w:rsid w:val="00F61132"/>
    <w:rsid w:val="00F644AE"/>
    <w:rsid w:val="00F64EF1"/>
    <w:rsid w:val="00F662EB"/>
    <w:rsid w:val="00F7176D"/>
    <w:rsid w:val="00F71EBD"/>
    <w:rsid w:val="00F72328"/>
    <w:rsid w:val="00F749B8"/>
    <w:rsid w:val="00F836F0"/>
    <w:rsid w:val="00F85E1F"/>
    <w:rsid w:val="00F867EE"/>
    <w:rsid w:val="00F87493"/>
    <w:rsid w:val="00F8765F"/>
    <w:rsid w:val="00F90767"/>
    <w:rsid w:val="00F952DC"/>
    <w:rsid w:val="00F97626"/>
    <w:rsid w:val="00FA21C6"/>
    <w:rsid w:val="00FA6185"/>
    <w:rsid w:val="00FA685B"/>
    <w:rsid w:val="00FB0C01"/>
    <w:rsid w:val="00FB19FC"/>
    <w:rsid w:val="00FB24B5"/>
    <w:rsid w:val="00FB4E5B"/>
    <w:rsid w:val="00FB7A31"/>
    <w:rsid w:val="00FC18F2"/>
    <w:rsid w:val="00FC39E5"/>
    <w:rsid w:val="00FC3A78"/>
    <w:rsid w:val="00FC5FC8"/>
    <w:rsid w:val="00FD1005"/>
    <w:rsid w:val="00FD6C75"/>
    <w:rsid w:val="00FE2379"/>
    <w:rsid w:val="00FE28DF"/>
    <w:rsid w:val="00FE48AA"/>
    <w:rsid w:val="00FE5F91"/>
    <w:rsid w:val="00FE71B3"/>
    <w:rsid w:val="00FF04B5"/>
    <w:rsid w:val="00FF1736"/>
    <w:rsid w:val="00FF3427"/>
    <w:rsid w:val="00FF4116"/>
    <w:rsid w:val="00FF42C5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16F87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16F8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16F8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16F8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16F8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16F8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16F8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16F87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16F87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16F8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16F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F87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16F8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16F8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16F87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616F87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16F87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16F87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16F8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DecHTitle">
    <w:name w:val="Dec_H_Title"/>
    <w:basedOn w:val="ECHRTitleCentre1"/>
    <w:uiPriority w:val="7"/>
    <w:semiHidden/>
    <w:qFormat/>
    <w:rsid w:val="00616F87"/>
  </w:style>
  <w:style w:type="paragraph" w:customStyle="1" w:styleId="DecList">
    <w:name w:val="Dec_List"/>
    <w:basedOn w:val="Normale"/>
    <w:uiPriority w:val="9"/>
    <w:semiHidden/>
    <w:qFormat/>
    <w:rsid w:val="00616F87"/>
    <w:pPr>
      <w:spacing w:before="240"/>
      <w:ind w:left="284"/>
    </w:pPr>
  </w:style>
  <w:style w:type="paragraph" w:customStyle="1" w:styleId="DummyStyle">
    <w:name w:val="Dummy_Style"/>
    <w:basedOn w:val="Normale"/>
    <w:semiHidden/>
    <w:qFormat/>
    <w:rsid w:val="00616F87"/>
    <w:rPr>
      <w:color w:val="00B050"/>
    </w:r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16F8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616F8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AppQuestion">
    <w:name w:val="Ju_App_Question"/>
    <w:basedOn w:val="Normale"/>
    <w:uiPriority w:val="5"/>
    <w:semiHidden/>
    <w:qFormat/>
    <w:rsid w:val="00616F87"/>
    <w:pPr>
      <w:numPr>
        <w:numId w:val="16"/>
      </w:numPr>
      <w:jc w:val="left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616F8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616F8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616F87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Initialled">
    <w:name w:val="Ju_Initialled"/>
    <w:basedOn w:val="Normale"/>
    <w:uiPriority w:val="31"/>
    <w:qFormat/>
    <w:rsid w:val="00616F87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16F8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16F8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JuITMark">
    <w:name w:val="Ju_ITMark"/>
    <w:basedOn w:val="Carpredefinitoparagrafo"/>
    <w:uiPriority w:val="38"/>
    <w:qFormat/>
    <w:rsid w:val="00616F8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uiPriority w:val="17"/>
    <w:qFormat/>
    <w:rsid w:val="00616F87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616F8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616F8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616F8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616F8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616F8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616F87"/>
    <w:pPr>
      <w:keepNext/>
      <w:keepLines/>
      <w:spacing w:before="240" w:after="120"/>
      <w:ind w:left="1236"/>
    </w:pPr>
    <w:rPr>
      <w:sz w:val="20"/>
    </w:rPr>
  </w:style>
  <w:style w:type="paragraph" w:styleId="Intestazione">
    <w:name w:val="header"/>
    <w:basedOn w:val="Normale"/>
    <w:link w:val="IntestazioneCarattere"/>
    <w:uiPriority w:val="57"/>
    <w:semiHidden/>
    <w:rsid w:val="00616F8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16F87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16F87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JuParaSub">
    <w:name w:val="Ju_Para_Sub"/>
    <w:basedOn w:val="ECHRPara"/>
    <w:uiPriority w:val="13"/>
    <w:qFormat/>
    <w:rsid w:val="00616F87"/>
    <w:pPr>
      <w:ind w:left="284"/>
    </w:p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616F8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16F87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JuQuotSub">
    <w:name w:val="Ju_Quot_Sub"/>
    <w:basedOn w:val="ECHRParaQuote"/>
    <w:uiPriority w:val="15"/>
    <w:qFormat/>
    <w:rsid w:val="00616F87"/>
    <w:pPr>
      <w:ind w:left="567"/>
    </w:pPr>
  </w:style>
  <w:style w:type="paragraph" w:customStyle="1" w:styleId="JuTitle">
    <w:name w:val="Ju_Title"/>
    <w:basedOn w:val="Normale"/>
    <w:next w:val="ECHRPara"/>
    <w:uiPriority w:val="3"/>
    <w:semiHidden/>
    <w:qFormat/>
    <w:rsid w:val="00616F8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16F87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OpiH1">
    <w:name w:val="Opi_H_1"/>
    <w:basedOn w:val="ECHRHeading2"/>
    <w:uiPriority w:val="42"/>
    <w:qFormat/>
    <w:rsid w:val="00616F87"/>
    <w:pPr>
      <w:ind w:left="635" w:hanging="357"/>
      <w:outlineLvl w:val="2"/>
    </w:pPr>
  </w:style>
  <w:style w:type="paragraph" w:customStyle="1" w:styleId="ECHRDecisionBody">
    <w:name w:val="ECHR_Decision_Body"/>
    <w:aliases w:val="Ju_Judges"/>
    <w:basedOn w:val="Normale"/>
    <w:uiPriority w:val="11"/>
    <w:qFormat/>
    <w:rsid w:val="00616F87"/>
    <w:pPr>
      <w:tabs>
        <w:tab w:val="left" w:pos="567"/>
        <w:tab w:val="left" w:pos="1134"/>
      </w:tabs>
      <w:jc w:val="left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16F87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616F87"/>
    <w:pPr>
      <w:ind w:firstLine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16F87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616F87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616F8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character" w:styleId="Enfasicorsivo">
    <w:name w:val="Emphasis"/>
    <w:uiPriority w:val="99"/>
    <w:semiHidden/>
    <w:qFormat/>
    <w:rsid w:val="00616F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16F8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16F87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16F8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16F8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F87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16F8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16F8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16F8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16F8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16F8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16F8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16F8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16F87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16F87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16F87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16F87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16F87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16F87"/>
    <w:rPr>
      <w:smallCaps/>
    </w:rPr>
  </w:style>
  <w:style w:type="table" w:styleId="Grigliatabella">
    <w:name w:val="Table Grid"/>
    <w:basedOn w:val="Tabellanormale"/>
    <w:uiPriority w:val="59"/>
    <w:semiHidden/>
    <w:rsid w:val="00616F8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16F8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16F8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16F8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16F8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16F8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616F8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16F8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e"/>
    <w:uiPriority w:val="14"/>
    <w:qFormat/>
    <w:rsid w:val="00616F87"/>
    <w:pPr>
      <w:spacing w:before="120" w:after="120"/>
      <w:ind w:left="425" w:firstLine="142"/>
    </w:pPr>
    <w:rPr>
      <w:sz w:val="20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16F8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616F8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e"/>
    <w:next w:val="ECHRPara"/>
    <w:uiPriority w:val="30"/>
    <w:qFormat/>
    <w:rsid w:val="00616F87"/>
    <w:pPr>
      <w:keepNext/>
      <w:keepLines/>
      <w:spacing w:before="240"/>
      <w:ind w:firstLine="284"/>
    </w:pPr>
  </w:style>
  <w:style w:type="paragraph" w:customStyle="1" w:styleId="JuCase">
    <w:name w:val="Ju_Case"/>
    <w:basedOn w:val="Normale"/>
    <w:next w:val="ECHRPara"/>
    <w:uiPriority w:val="10"/>
    <w:rsid w:val="00616F87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616F87"/>
    <w:pPr>
      <w:ind w:left="340" w:hanging="340"/>
    </w:pPr>
  </w:style>
  <w:style w:type="character" w:styleId="Numeropagina">
    <w:name w:val="page number"/>
    <w:uiPriority w:val="99"/>
    <w:semiHidden/>
    <w:rsid w:val="00052902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616F87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616F87"/>
    <w:pPr>
      <w:ind w:left="794"/>
    </w:pPr>
  </w:style>
  <w:style w:type="character" w:styleId="Rimandocommento">
    <w:name w:val="annotation reference"/>
    <w:uiPriority w:val="99"/>
    <w:semiHidden/>
    <w:rsid w:val="00052902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5290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52902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052902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52902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52902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052902"/>
    <w:rPr>
      <w:rFonts w:ascii="Times New Roman" w:hAnsi="Times New Roman" w:cs="Times New Roman"/>
      <w:color w:val="800080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5290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52902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05290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52902"/>
    <w:rPr>
      <w:rFonts w:ascii="Tahoma" w:eastAsiaTheme="minorEastAsia" w:hAnsi="Tahoma" w:cs="Tahoma"/>
      <w:sz w:val="20"/>
      <w:shd w:val="clear" w:color="auto" w:fill="000080"/>
    </w:rPr>
  </w:style>
  <w:style w:type="paragraph" w:styleId="Puntoelenco">
    <w:name w:val="List Bullet"/>
    <w:basedOn w:val="Normale"/>
    <w:uiPriority w:val="99"/>
    <w:semiHidden/>
    <w:rsid w:val="00052902"/>
    <w:pPr>
      <w:numPr>
        <w:numId w:val="1"/>
      </w:numPr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16F8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16F8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052902"/>
    <w:pPr>
      <w:numPr>
        <w:numId w:val="10"/>
      </w:numPr>
    </w:pPr>
  </w:style>
  <w:style w:type="numbering" w:styleId="1ai">
    <w:name w:val="Outline List 1"/>
    <w:basedOn w:val="Nessunelenco"/>
    <w:uiPriority w:val="99"/>
    <w:semiHidden/>
    <w:rsid w:val="00052902"/>
    <w:pPr>
      <w:numPr>
        <w:numId w:val="11"/>
      </w:numPr>
    </w:pPr>
  </w:style>
  <w:style w:type="numbering" w:styleId="ArticoloSezione">
    <w:name w:val="Outline List 3"/>
    <w:basedOn w:val="Nessunelenco"/>
    <w:uiPriority w:val="99"/>
    <w:semiHidden/>
    <w:rsid w:val="00052902"/>
    <w:pPr>
      <w:numPr>
        <w:numId w:val="12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052902"/>
  </w:style>
  <w:style w:type="paragraph" w:styleId="Testodelblocco">
    <w:name w:val="Block Text"/>
    <w:basedOn w:val="Normale"/>
    <w:uiPriority w:val="99"/>
    <w:semiHidden/>
    <w:rsid w:val="0005290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05290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5290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529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5290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5290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5290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5290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5290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5290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5290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5290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5290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5290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5290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5290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5290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5290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5290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52902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052902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52902"/>
  </w:style>
  <w:style w:type="character" w:customStyle="1" w:styleId="DataCarattere">
    <w:name w:val="Data Carattere"/>
    <w:basedOn w:val="Carpredefinitoparagrafo"/>
    <w:link w:val="Data"/>
    <w:uiPriority w:val="99"/>
    <w:semiHidden/>
    <w:rsid w:val="00052902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5290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52902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052902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52902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052902"/>
  </w:style>
  <w:style w:type="paragraph" w:styleId="IndirizzoHTML">
    <w:name w:val="HTML Address"/>
    <w:basedOn w:val="Normale"/>
    <w:link w:val="IndirizzoHTMLCarattere"/>
    <w:uiPriority w:val="99"/>
    <w:semiHidden/>
    <w:rsid w:val="0005290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5290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52902"/>
    <w:rPr>
      <w:i/>
      <w:iCs/>
    </w:rPr>
  </w:style>
  <w:style w:type="character" w:styleId="CodiceHTML">
    <w:name w:val="HTML Code"/>
    <w:basedOn w:val="Carpredefinitoparagrafo"/>
    <w:uiPriority w:val="99"/>
    <w:semiHidden/>
    <w:rsid w:val="0005290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5290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5290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5290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5290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5290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5290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5290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5290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5290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5290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5290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5290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5290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5290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5290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5290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5290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052902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052902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052902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052902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052902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052902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052902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52902"/>
  </w:style>
  <w:style w:type="paragraph" w:styleId="Elenco">
    <w:name w:val="List"/>
    <w:basedOn w:val="Normale"/>
    <w:uiPriority w:val="99"/>
    <w:semiHidden/>
    <w:rsid w:val="0005290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5290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5290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5290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52902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052902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rsid w:val="00052902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rsid w:val="00052902"/>
    <w:pPr>
      <w:tabs>
        <w:tab w:val="num" w:pos="1209"/>
      </w:tabs>
      <w:ind w:left="1209" w:hanging="360"/>
      <w:contextualSpacing/>
    </w:pPr>
  </w:style>
  <w:style w:type="paragraph" w:styleId="Puntoelenco5">
    <w:name w:val="List Bullet 5"/>
    <w:basedOn w:val="Normale"/>
    <w:uiPriority w:val="99"/>
    <w:semiHidden/>
    <w:rsid w:val="00052902"/>
    <w:pPr>
      <w:numPr>
        <w:numId w:val="4"/>
      </w:numPr>
      <w:contextualSpacing/>
    </w:pPr>
  </w:style>
  <w:style w:type="paragraph" w:styleId="Elencocontinua">
    <w:name w:val="List Continue"/>
    <w:basedOn w:val="Normale"/>
    <w:uiPriority w:val="99"/>
    <w:semiHidden/>
    <w:rsid w:val="0005290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5290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5290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5290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5290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52902"/>
    <w:pPr>
      <w:numPr>
        <w:numId w:val="5"/>
      </w:numPr>
      <w:contextualSpacing/>
    </w:pPr>
  </w:style>
  <w:style w:type="paragraph" w:styleId="Numeroelenco2">
    <w:name w:val="List Number 2"/>
    <w:basedOn w:val="Normale"/>
    <w:uiPriority w:val="99"/>
    <w:semiHidden/>
    <w:rsid w:val="00052902"/>
    <w:pPr>
      <w:numPr>
        <w:numId w:val="6"/>
      </w:numPr>
      <w:contextualSpacing/>
    </w:pPr>
  </w:style>
  <w:style w:type="paragraph" w:styleId="Numeroelenco3">
    <w:name w:val="List Number 3"/>
    <w:basedOn w:val="Normale"/>
    <w:uiPriority w:val="99"/>
    <w:semiHidden/>
    <w:rsid w:val="00052902"/>
    <w:pPr>
      <w:numPr>
        <w:numId w:val="7"/>
      </w:numPr>
      <w:contextualSpacing/>
    </w:pPr>
  </w:style>
  <w:style w:type="paragraph" w:styleId="Numeroelenco4">
    <w:name w:val="List Number 4"/>
    <w:basedOn w:val="Normale"/>
    <w:uiPriority w:val="99"/>
    <w:semiHidden/>
    <w:rsid w:val="00052902"/>
    <w:pPr>
      <w:numPr>
        <w:numId w:val="8"/>
      </w:numPr>
      <w:contextualSpacing/>
    </w:pPr>
  </w:style>
  <w:style w:type="paragraph" w:styleId="Numeroelenco5">
    <w:name w:val="List Number 5"/>
    <w:basedOn w:val="Normale"/>
    <w:uiPriority w:val="99"/>
    <w:semiHidden/>
    <w:rsid w:val="00052902"/>
    <w:pPr>
      <w:numPr>
        <w:numId w:val="9"/>
      </w:numPr>
      <w:contextualSpacing/>
    </w:pPr>
  </w:style>
  <w:style w:type="paragraph" w:styleId="Testomacro">
    <w:name w:val="macro"/>
    <w:link w:val="TestomacroCarattere"/>
    <w:uiPriority w:val="99"/>
    <w:semiHidden/>
    <w:rsid w:val="000529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5290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052902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052902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052902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529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529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5290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5290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5290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5290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16F8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5290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5290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5290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5290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5290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5290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052902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052902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052902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rsid w:val="00052902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5290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52902"/>
  </w:style>
  <w:style w:type="table" w:styleId="Tabellaprofessionale">
    <w:name w:val="Table Professional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052902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052902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052902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052902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052902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16F8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16F8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5290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52902"/>
    <w:pPr>
      <w:spacing w:after="100"/>
      <w:ind w:left="1920"/>
    </w:pPr>
  </w:style>
  <w:style w:type="paragraph" w:customStyle="1" w:styleId="OpiHa">
    <w:name w:val="Opi_H_a"/>
    <w:basedOn w:val="ECHRHeading3"/>
    <w:uiPriority w:val="43"/>
    <w:qFormat/>
    <w:rsid w:val="00616F87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qFormat/>
    <w:rsid w:val="00616F8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qFormat/>
    <w:rsid w:val="00616F87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qFormat/>
    <w:rsid w:val="00616F87"/>
  </w:style>
  <w:style w:type="paragraph" w:customStyle="1" w:styleId="OpiParaSub">
    <w:name w:val="Opi_Para_Sub"/>
    <w:basedOn w:val="JuParaSub"/>
    <w:uiPriority w:val="47"/>
    <w:qFormat/>
    <w:rsid w:val="00616F87"/>
  </w:style>
  <w:style w:type="paragraph" w:customStyle="1" w:styleId="OpiQuot">
    <w:name w:val="Opi_Quot"/>
    <w:basedOn w:val="ECHRParaQuote"/>
    <w:uiPriority w:val="48"/>
    <w:qFormat/>
    <w:rsid w:val="00616F87"/>
  </w:style>
  <w:style w:type="paragraph" w:customStyle="1" w:styleId="OpiQuotSub">
    <w:name w:val="Opi_Quot_Sub"/>
    <w:basedOn w:val="JuQuotSub"/>
    <w:uiPriority w:val="49"/>
    <w:qFormat/>
    <w:rsid w:val="00616F87"/>
  </w:style>
  <w:style w:type="paragraph" w:customStyle="1" w:styleId="OpiTranslation">
    <w:name w:val="Opi_Translation"/>
    <w:basedOn w:val="Normale"/>
    <w:next w:val="OpiPara"/>
    <w:uiPriority w:val="40"/>
    <w:qFormat/>
    <w:rsid w:val="00616F87"/>
    <w:pPr>
      <w:jc w:val="center"/>
      <w:outlineLvl w:val="0"/>
    </w:pPr>
    <w:rPr>
      <w:i/>
    </w:rPr>
  </w:style>
  <w:style w:type="character" w:customStyle="1" w:styleId="ECHRParaChar">
    <w:name w:val="ECHR_Para Char"/>
    <w:aliases w:val="Ju_Para Char"/>
    <w:link w:val="ECHRPara"/>
    <w:uiPriority w:val="12"/>
    <w:rsid w:val="00B7514F"/>
    <w:rPr>
      <w:rFonts w:eastAsiaTheme="minorEastAsia"/>
      <w:sz w:val="24"/>
    </w:rPr>
  </w:style>
  <w:style w:type="paragraph" w:styleId="Revisione">
    <w:name w:val="Revision"/>
    <w:hidden/>
    <w:uiPriority w:val="99"/>
    <w:semiHidden/>
    <w:rsid w:val="00F61132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934D-7A36-445D-BDAB-C997CBE3A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449ED-96A0-4864-833B-52B4D899F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C9E82A-00AB-4C7B-A764-F60480CC5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A6F6A-717F-485E-9BE9-AD275181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4088</Words>
  <Characters>23303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2017-07-03T13:42:00Z</dcterms:created>
  <dcterms:modified xsi:type="dcterms:W3CDTF">2017-07-03T13:42:00Z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21838/10</vt:lpwstr>
  </property>
  <property fmtid="{D5CDD505-2E9C-101B-9397-08002B2CF9AE}" pid="4" name="CASEID">
    <vt:lpwstr>636066</vt:lpwstr>
  </property>
  <property fmtid="{D5CDD505-2E9C-101B-9397-08002B2CF9AE}" pid="5" name="ContentTypeId">
    <vt:lpwstr>0x010100558EB02BDB9E204AB350EDD385B68E10</vt:lpwstr>
  </property>
</Properties>
</file>